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104 реальных обучений на трёх архитектурах, двух представлениях BOLD-сигнала, двух масштабах патча и двух постановках задачи.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104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25/40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полной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0.49–0.53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при использовании очевидных рычагов: больше пациентов (5 → 25), более содержательный BOLD-признак (сырой временной ряд → % изменения по условиям), больше пространственного контекста (патч 9³ → 15³ вокселей),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104 прогонах. Это оставшиеся содержательные кандидаты, честно оценённые, в противовес путям, которые сдвинули бы цифру, ничего не доказав.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Стоит попробовать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Признаки на уровне настоящей анатомической парцелляции. Кубик 15³ — всё ещё просто больший локальный блок, не анатомически осмысленный регион. Признаки, усреднённые по реальному парцеллу атласа (Glasser, Harvard–Oxford), зарегистрированному в пространство каждого пациента — по-настоящему другое, не испытанное представление; в собственных таблицах исходного репозитория уже есть колонка «Glasser parcel», так что подготовка к регистрации может уже существовать.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Оставшиеся 15 пациентов. 11 используют более позднюю схему именования производных данных (T1w на весь объём головы, CMRO₂ с CBV-коррекцией) — это просто нужно сопоставить, не новая наука. Полные n=40 не гарантируют результат, но закрывают вопрос «достаточно ли было 25».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Переменные вне структуры/BOLD. В participants.tsv уже есть возраст, пол и Hct на каждого пациента — пока не использованы. Hct напрямую входит в формулу расчёта CMRO₂, так что это законная ковариата, а не натяжка.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Менее вероятно, но не исключено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Ещё более глубокие или предобученные 3D-сети. Уже испытаны три архитектуры с 12-кратным диапазоном числа параметров с идентичным результатом — масштаб сам по себе сошёлся, трудно ожидать, что большее число параметров даст другой ответ. Модель, предобученная на большом корпусе 3D-МРТ и дообученная здесь — единственный неисключённый вариант, поскольку она привносит внешние данные, а не только больше ёмкости.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прогонов. При 104 прогонах вокруг 0.49–0.53 несколько случайных попаданий в 0.60+ статистически ожидаемы, а не находка — выбрать один из них означает свести на нет саму цель схемы с честным разбиением и повторами.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104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2026-09-04T14:49:10.671Z</dcterms:created>
  <dcterms:modified xsi:type="dcterms:W3CDTF">2026-09-04T14:49:10.672Z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