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rFonts w:ascii="PT Sans" w:cs="PT Sans" w:eastAsia="PT Sans" w:hAnsi="PT Sans"/>
          <w:b/>
          <w:bCs/>
          <w:color w:val="157A6E"/>
          <w:spacing w:val="15"/>
          <w:sz w:val="15"/>
          <w:szCs w:val="15"/>
        </w:rPr>
        <w:t xml:space="preserve">ПОДГОТОВКА · 22 СЕНТЯБРЯ 2026</w:t>
      </w:r>
    </w:p>
    <w:p>
      <w:pPr>
        <w:spacing w:after="180"/>
      </w:pPr>
      <w:r>
        <w:rPr>
          <w:rFonts w:ascii="PT Serif" w:cs="PT Serif" w:eastAsia="PT Serif" w:hAnsi="PT Serif"/>
          <w:b/>
          <w:bCs/>
          <w:color w:val="1B1E23"/>
          <w:sz w:val="34"/>
          <w:szCs w:val="34"/>
        </w:rPr>
        <w:t xml:space="preserve">Разговор с руководителем: структура vs. согласованность BOLD/CMRO₂</w:t>
      </w:r>
    </w:p>
    <w:p>
      <w:pPr>
        <w:spacing w:after="240" w:line="300"/>
      </w:pPr>
      <w:r>
        <w:rPr>
          <w:rFonts w:ascii="PT Serif" w:cs="PT Serif" w:eastAsia="PT Serif" w:hAnsi="PT Serif"/>
          <w:color w:val="4A505C"/>
          <w:sz w:val="22"/>
          <w:szCs w:val="22"/>
        </w:rPr>
        <w:t xml:space="preserve">Полный конспект того, что нужно понимать и держать под рукой — методология, все результаты, найденный и исправленный баг, независимая литература, и вероятные вопросы с готовыми ответами.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pct" w:w="25%"/>
            <w:tcBorders>
              <w:top w:val="single" w:color="DFDCD3" w:sz="4"/>
              <w:left w:val="single" w:color="DFDCD3" w:sz="4"/>
              <w:bottom w:val="single" w:color="DFDCD3" w:sz="4"/>
              <w:right w:val="single" w:color="DFDCD3" w:sz="4"/>
            </w:tcBorders>
            <w:shd w:fill="FFFFFF" w:val="clear"/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50"/>
            </w:pPr>
            <w:r>
              <w:rPr>
                <w:rFonts w:ascii="PT Mono" w:cs="PT Mono" w:eastAsia="PT Mono" w:hAnsi="PT Mono"/>
                <w:b/>
                <w:bCs/>
                <w:color w:val="1B1E23"/>
                <w:sz w:val="26"/>
                <w:szCs w:val="26"/>
              </w:rPr>
              <w:t xml:space="preserve">228</w:t>
            </w:r>
          </w:p>
          <w:p>
            <w:pPr>
              <w:spacing w:after="0" w:line="240"/>
            </w:pPr>
            <w:r>
              <w:rPr>
                <w:rFonts w:ascii="PT Sans" w:cs="PT Sans" w:eastAsia="PT Sans" w:hAnsi="PT Sans"/>
                <w:color w:val="7B8290"/>
                <w:sz w:val="14"/>
                <w:szCs w:val="14"/>
              </w:rPr>
              <w:t xml:space="preserve">честных обучений на реальных метках</w:t>
            </w:r>
          </w:p>
        </w:tc>
        <w:tc>
          <w:tcPr>
            <w:tcW w:type="pct" w:w="25%"/>
            <w:tcBorders>
              <w:top w:val="single" w:color="DFDCD3" w:sz="4"/>
              <w:left w:val="single" w:color="DFDCD3" w:sz="4"/>
              <w:bottom w:val="single" w:color="DFDCD3" w:sz="4"/>
              <w:right w:val="single" w:color="DFDCD3" w:sz="4"/>
            </w:tcBorders>
            <w:shd w:fill="FFFFFF" w:val="clear"/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50"/>
            </w:pPr>
            <w:r>
              <w:rPr>
                <w:rFonts w:ascii="PT Mono" w:cs="PT Mono" w:eastAsia="PT Mono" w:hAnsi="PT Mono"/>
                <w:b/>
                <w:bCs/>
                <w:color w:val="1B1E23"/>
                <w:sz w:val="26"/>
                <w:szCs w:val="26"/>
              </w:rPr>
              <w:t xml:space="preserve">39/40</w:t>
            </w:r>
          </w:p>
          <w:p>
            <w:pPr>
              <w:spacing w:after="0" w:line="240"/>
            </w:pPr>
            <w:r>
              <w:rPr>
                <w:rFonts w:ascii="PT Sans" w:cs="PT Sans" w:eastAsia="PT Sans" w:hAnsi="PT Sans"/>
                <w:color w:val="7B8290"/>
                <w:sz w:val="14"/>
                <w:szCs w:val="14"/>
              </w:rPr>
              <w:t xml:space="preserve">пациентов датасета</w:t>
            </w:r>
          </w:p>
        </w:tc>
        <w:tc>
          <w:tcPr>
            <w:tcW w:type="pct" w:w="25%"/>
            <w:tcBorders>
              <w:top w:val="single" w:color="DFDCD3" w:sz="4"/>
              <w:left w:val="single" w:color="DFDCD3" w:sz="4"/>
              <w:bottom w:val="single" w:color="DFDCD3" w:sz="4"/>
              <w:right w:val="single" w:color="DFDCD3" w:sz="4"/>
            </w:tcBorders>
            <w:shd w:fill="FFFFFF" w:val="clear"/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50"/>
            </w:pPr>
            <w:r>
              <w:rPr>
                <w:rFonts w:ascii="PT Mono" w:cs="PT Mono" w:eastAsia="PT Mono" w:hAnsi="PT Mono"/>
                <w:b/>
                <w:bCs/>
                <w:color w:val="1B1E23"/>
                <w:sz w:val="26"/>
                <w:szCs w:val="26"/>
              </w:rPr>
              <w:t xml:space="preserve">0.48–0.55</w:t>
            </w:r>
          </w:p>
          <w:p>
            <w:pPr>
              <w:spacing w:after="0" w:line="240"/>
            </w:pPr>
            <w:r>
              <w:rPr>
                <w:rFonts w:ascii="PT Sans" w:cs="PT Sans" w:eastAsia="PT Sans" w:hAnsi="PT Sans"/>
                <w:color w:val="7B8290"/>
                <w:sz w:val="14"/>
                <w:szCs w:val="14"/>
              </w:rPr>
              <w:t xml:space="preserve">диапазон точности реальных признаков</w:t>
            </w:r>
          </w:p>
        </w:tc>
        <w:tc>
          <w:tcPr>
            <w:tcW w:type="pct" w:w="25%"/>
            <w:tcBorders>
              <w:top w:val="single" w:color="DFDCD3" w:sz="4"/>
              <w:left w:val="single" w:color="DFDCD3" w:sz="4"/>
              <w:bottom w:val="single" w:color="DFDCD3" w:sz="4"/>
              <w:right w:val="single" w:color="DFDCD3" w:sz="4"/>
            </w:tcBorders>
            <w:shd w:fill="FFFFFF" w:val="clear"/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50"/>
            </w:pPr>
            <w:r>
              <w:rPr>
                <w:rFonts w:ascii="PT Mono" w:cs="PT Mono" w:eastAsia="PT Mono" w:hAnsi="PT Mono"/>
                <w:b/>
                <w:bCs/>
                <w:color w:val="157A6E"/>
                <w:sz w:val="26"/>
                <w:szCs w:val="26"/>
              </w:rPr>
              <w:t xml:space="preserve">0.955–0.975</w:t>
            </w:r>
          </w:p>
          <w:p>
            <w:pPr>
              <w:spacing w:after="0" w:line="240"/>
            </w:pPr>
            <w:r>
              <w:rPr>
                <w:rFonts w:ascii="PT Sans" w:cs="PT Sans" w:eastAsia="PT Sans" w:hAnsi="PT Sans"/>
                <w:color w:val="7B8290"/>
                <w:sz w:val="14"/>
                <w:szCs w:val="14"/>
              </w:rPr>
              <w:t xml:space="preserve">оракульный контроль (пайплайн исправен)</w:t>
            </w:r>
          </w:p>
        </w:tc>
      </w:tr>
    </w:tbl>
    <w:p>
      <w:pPr>
        <w:spacing w:after="26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5"/>
          <w:szCs w:val="15"/>
        </w:rPr>
        <w:t xml:space="preserve">ЧТО НУЖНО ПОНИМАТЬ ПЕРВЫМ ДЕЛОМ</w:t>
      </w:r>
    </w:p>
    <w:p>
      <w:pPr>
        <w:pStyle w:val="Heading1"/>
        <w:spacing w:after="160" w:before="320"/>
      </w:pPr>
      <w:r>
        <w:rPr>
          <w:rFonts w:ascii="PT Serif" w:cs="PT Serif" w:eastAsia="PT Serif" w:hAnsi="PT Serif"/>
          <w:b/>
          <w:bCs/>
          <w:color w:val="1B1E23"/>
          <w:sz w:val="30"/>
          <w:szCs w:val="30"/>
        </w:rPr>
        <w:t xml:space="preserve">Главное — в одном абзаце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9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5B3E96"/>
                <w:spacing w:val="15"/>
                <w:sz w:val="16"/>
                <w:szCs w:val="16"/>
              </w:rPr>
              <w:t xml:space="preserve">ЗАДАЧА И РЕЗУЛЬТАТ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Задача: предсказать по структурной МРТ (T1/T2), будет ли воксель мозга «concordant» (BOLD и CMRO₂ меняются в одну сторону при нагрузке) или «discordant» (в разные стороны). Метка — это sign(ΔBOLD%) × sign(ΔCMRO2%), посчитанная из настоящих калиброванных fMRI-данных (Epp et al., OpenNeuro ds004873). Результат: ни один из 228 честных прогонов — 5 архитектур, 6 типов входа, 3 масштаба анализа — не превзошёл тривиальный базовый уровень «всегда предсказывать более частый класс». Это устойчивый, тщательно проверенный отрицательный результат, а не серия неудачных попыток.</w:t>
            </w:r>
          </w:p>
        </w:tc>
      </w:tr>
    </w:tbl>
    <w:p>
      <w:pPr>
        <w:spacing w:after="140"/>
      </w:pPr>
    </w:p>
    <w:p>
      <w:pPr>
        <w:spacing w:after="10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Три вещи, которые превращают это из «не получилось» в «ответ, который стоит принять»: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Санити-чек пайплайна положительный. Модели, которой напрямую подали значения, определяющие метку, дают 0.955–0.975 — значит, код обучения и оценки работает правильно и способен находить сигнал, когда он есть.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Есть независимое научное подтверждение. Отдельная рецензируемая работа 2026 года напрямую поставила под сомнение надёжность самой метки на этом датасете.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Каждый результат проверен против правильного базового уровня — не против 0.5, а против «какой класс чаще» в конкретном разбиении. Несколько раз это спасло от ложного вывода.</w:t>
      </w:r>
    </w:p>
    <w:p>
      <w:pPr>
        <w:spacing w:after="16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5"/>
          <w:szCs w:val="15"/>
        </w:rPr>
        <w:t xml:space="preserve">МЕТОДОЛОГИЯ — КОРОТКО, НО ПОЛНОСТЬЮ</w:t>
      </w:r>
    </w:p>
    <w:p>
      <w:pPr>
        <w:pStyle w:val="Heading1"/>
        <w:spacing w:after="160" w:before="320"/>
      </w:pPr>
      <w:r>
        <w:rPr>
          <w:rFonts w:ascii="PT Serif" w:cs="PT Serif" w:eastAsia="PT Serif" w:hAnsi="PT Serif"/>
          <w:b/>
          <w:bCs/>
          <w:color w:val="1B1E23"/>
          <w:sz w:val="30"/>
          <w:szCs w:val="30"/>
        </w:rPr>
        <w:t xml:space="preserve">Откуда данные и как устроена проверка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Калиброванный fMRI-датасет Epp et al. (OpenNeuro ds004873, конвейер two_modes_of_hemodynamics). Задачи calc (счёт в уме) и mem (память), у каждого пациента — condition и control. CMRO₂ считается по принципу Фика: CMRO₂ = CBF × OEF × CaO₂. Реальные производные данные для 39 из 40 пациентов восстановлены через историю версий S3.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Разбиение train/test — по полушарию (сторона A / сторона B), с отступом вокруг границы, чтобы патч из обучающей выборки не мог пересекаться с патчем из тестовой. Каждая пара контраст/направление считается отдельно (A→B и B→A).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1F2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157A6E"/>
                <w:spacing w:val="15"/>
                <w:sz w:val="16"/>
                <w:szCs w:val="16"/>
              </w:rPr>
              <w:t xml:space="preserve">КЛЮЧЕВАЯ МЕТОДОЛОГИЧЕСКАЯ ДИСЦИПЛИНА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Сырая точность ничего не доказывает сама по себе, если фильтрация или смена постановки задачи может сдвинуть баланс классов. Пример: точность 0.627 (самая высокая точность за весь проект) на поверку совпала с «всегда предсказывай concordant» — то есть была нулевым результатом, замаскированным под успех. С этого момента и до конца проекта каждый результат сверяется с базовым уровнем своего собственного тира/разбиения, а не только с 0.5.</w:t>
            </w:r>
          </w:p>
        </w:tc>
      </w:tr>
    </w:tbl>
    <w:p>
      <w:pPr>
        <w:spacing w:after="16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5"/>
          <w:szCs w:val="15"/>
        </w:rPr>
        <w:t xml:space="preserve">ЧТО ПЕРЕПРОБОВАНО</w:t>
      </w:r>
    </w:p>
    <w:p>
      <w:pPr>
        <w:pStyle w:val="Heading1"/>
        <w:spacing w:after="160" w:before="320"/>
      </w:pPr>
      <w:r>
        <w:rPr>
          <w:rFonts w:ascii="PT Serif" w:cs="PT Serif" w:eastAsia="PT Serif" w:hAnsi="PT Serif"/>
          <w:b/>
          <w:bCs/>
          <w:color w:val="1B1E23"/>
          <w:sz w:val="30"/>
          <w:szCs w:val="30"/>
        </w:rPr>
        <w:t xml:space="preserve">228 прогонов по всем измерениям</w:t>
      </w:r>
    </w:p>
    <w:tbl>
      <w:tblPr>
        <w:tblW w:type="dxa" w:w="9360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DFDCD3" w:sz="2"/>
          <w:insideV w:val="single" w:color="DFDCD3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B2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FFFFFF"/>
                <w:sz w:val="17"/>
                <w:szCs w:val="17"/>
              </w:rPr>
              <w:t xml:space="preserve">Измерение</w:t>
            </w:r>
          </w:p>
        </w:tc>
        <w:tc>
          <w:tcPr>
            <w:tcW w:type="dxa" w:w="6960"/>
            <w:shd w:fill="2B2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FFFFFF"/>
                <w:sz w:val="17"/>
                <w:szCs w:val="17"/>
              </w:rPr>
              <w:t xml:space="preserve">Что перепробовано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T Mono" w:cs="PT Mono" w:eastAsia="PT Mono" w:hAnsi="PT Mono"/>
                <w:color w:val="1B1E23"/>
                <w:sz w:val="18"/>
                <w:szCs w:val="18"/>
              </w:rPr>
              <w:t xml:space="preserve">Архитектуры (5)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T Mono" w:cs="PT Mono" w:eastAsia="PT Mono" w:hAnsi="PT Mono"/>
                <w:color w:val="1B1E23"/>
                <w:sz w:val="18"/>
                <w:szCs w:val="18"/>
              </w:rPr>
              <w:t xml:space="preserve">простая CNN, более глубокая CNN, CNN+внимание, U-Net, предобученный backbone (46М) + ансамбль</w:t>
            </w:r>
          </w:p>
        </w:tc>
      </w:tr>
      <w:tr>
        <w:tc>
          <w:tcPr>
            <w:tcW w:type="dxa" w:w="2400"/>
            <w:shd w:fill="F5F3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T Mono" w:cs="PT Mono" w:eastAsia="PT Mono" w:hAnsi="PT Mono"/>
                <w:color w:val="1B1E23"/>
                <w:sz w:val="18"/>
                <w:szCs w:val="18"/>
              </w:rPr>
              <w:t xml:space="preserve">Вход (6 типов)</w:t>
            </w:r>
          </w:p>
        </w:tc>
        <w:tc>
          <w:tcPr>
            <w:tcW w:type="dxa" w:w="6960"/>
            <w:shd w:fill="F5F3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T Mono" w:cs="PT Mono" w:eastAsia="PT Mono" w:hAnsi="PT Mono"/>
                <w:color w:val="1B1E23"/>
                <w:sz w:val="18"/>
                <w:szCs w:val="18"/>
              </w:rPr>
              <w:t xml:space="preserve">T1, T1+BOLD, T1+BOLD по условиям, T1+CBF/OEF, T1+dCBF/dOEF, T1+CBV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T Mono" w:cs="PT Mono" w:eastAsia="PT Mono" w:hAnsi="PT Mono"/>
                <w:color w:val="1B1E23"/>
                <w:sz w:val="18"/>
                <w:szCs w:val="18"/>
              </w:rPr>
              <w:t xml:space="preserve">Не-структурные (4)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T Mono" w:cs="PT Mono" w:eastAsia="PT Mono" w:hAnsi="PT Mono"/>
                <w:color w:val="1B1E23"/>
                <w:sz w:val="18"/>
                <w:szCs w:val="18"/>
              </w:rPr>
              <w:t xml:space="preserve">ковариаты, геометрическая сетка, k-means, атлас Glasser/HCP-MMP1.0</w:t>
            </w:r>
          </w:p>
        </w:tc>
      </w:tr>
      <w:tr>
        <w:tc>
          <w:tcPr>
            <w:tcW w:type="dxa" w:w="2400"/>
            <w:shd w:fill="F5F3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T Mono" w:cs="PT Mono" w:eastAsia="PT Mono" w:hAnsi="PT Mono"/>
                <w:color w:val="1B1E23"/>
                <w:sz w:val="18"/>
                <w:szCs w:val="18"/>
              </w:rPr>
              <w:t xml:space="preserve">Масштаб анализа</w:t>
            </w:r>
          </w:p>
        </w:tc>
        <w:tc>
          <w:tcPr>
            <w:tcW w:type="dxa" w:w="6960"/>
            <w:shd w:fill="F5F3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T Mono" w:cs="PT Mono" w:eastAsia="PT Mono" w:hAnsi="PT Mono"/>
                <w:color w:val="1B1E23"/>
                <w:sz w:val="18"/>
                <w:szCs w:val="18"/>
              </w:rPr>
              <w:t xml:space="preserve">воксель → регион → популяция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T Mono" w:cs="PT Mono" w:eastAsia="PT Mono" w:hAnsi="PT Mono"/>
                <w:color w:val="1B1E23"/>
                <w:sz w:val="18"/>
                <w:szCs w:val="18"/>
              </w:rPr>
              <w:t xml:space="preserve">Постановка задачи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T Mono" w:cs="PT Mono" w:eastAsia="PT Mono" w:hAnsi="PT Mono"/>
                <w:color w:val="1B1E23"/>
                <w:sz w:val="18"/>
                <w:szCs w:val="18"/>
              </w:rPr>
              <w:t xml:space="preserve">бинарная и 3-классовая (concordant/discordant/unreliable)</w:t>
            </w:r>
          </w:p>
        </w:tc>
      </w:tr>
      <w:tr>
        <w:tc>
          <w:tcPr>
            <w:tcW w:type="dxa" w:w="2400"/>
            <w:shd w:fill="F5F3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T Mono" w:cs="PT Mono" w:eastAsia="PT Mono" w:hAnsi="PT Mono"/>
                <w:color w:val="1B1E23"/>
                <w:sz w:val="18"/>
                <w:szCs w:val="18"/>
              </w:rPr>
              <w:t xml:space="preserve">Надёжность метки</w:t>
            </w:r>
          </w:p>
        </w:tc>
        <w:tc>
          <w:tcPr>
            <w:tcW w:type="dxa" w:w="6960"/>
            <w:shd w:fill="F5F3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T Mono" w:cs="PT Mono" w:eastAsia="PT Mono" w:hAnsi="PT Mono"/>
                <w:color w:val="1B1E23"/>
                <w:sz w:val="18"/>
                <w:szCs w:val="18"/>
              </w:rPr>
              <w:t xml:space="preserve">суррогат (|CMRO₂%change|) и настоящая Z-статистика GLM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E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A6403A"/>
                <w:spacing w:val="15"/>
                <w:sz w:val="16"/>
                <w:szCs w:val="16"/>
              </w:rPr>
              <w:t xml:space="preserve">ИТОГ ПО ВСЕМ 228 ПРОГОНАМ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Каждая настоящая конфигурация лежит в диапазоне 0.48–0.55 — на уровне или ниже своего базового уровня «большинство». Единственное исключение в другую сторону — регрессия, которая уходит ниже нуля по R² (хуже, чем просто предсказывать среднее).</w:t>
            </w:r>
          </w:p>
        </w:tc>
      </w:tr>
    </w:tbl>
    <w:p>
      <w:pPr>
        <w:spacing w:after="2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5"/>
          <w:szCs w:val="15"/>
        </w:rPr>
        <w:t xml:space="preserve">ОРАКУЛЬНЫЙ КОНТРОЛЬ И НАЙДЕННЫЙ БАГ</w:t>
      </w:r>
    </w:p>
    <w:p>
      <w:pPr>
        <w:pStyle w:val="Heading1"/>
        <w:spacing w:after="160" w:before="320"/>
      </w:pPr>
      <w:r>
        <w:rPr>
          <w:rFonts w:ascii="PT Serif" w:cs="PT Serif" w:eastAsia="PT Serif" w:hAnsi="PT Serif"/>
          <w:b/>
          <w:bCs/>
          <w:color w:val="1B1E23"/>
          <w:sz w:val="30"/>
          <w:szCs w:val="30"/>
        </w:rPr>
        <w:t xml:space="preserve">Проверка пайплайна — и баг, найденный в ней самой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Стоит проговорить проактивно, а не ждать вопроса — показывает разбор собственного пайплайна на уровне кода, а не просто получение цифр.</w:t>
      </w:r>
    </w:p>
    <w:p>
      <w:pPr>
        <w:spacing w:after="18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Модели напрямую подаются значения BOLD_percchange и CMRO2%change — то есть буквально то, из чего строится метка. Раз метка — это просто произведение знаков этих двух чисел, точность должна быть около 100%. Это не научный результат, а проверка «работает ли вообще код обучения».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1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B4791C"/>
                <w:spacing w:val="15"/>
                <w:sz w:val="16"/>
                <w:szCs w:val="16"/>
              </w:rPr>
              <w:t xml:space="preserve">БЫЛО: 0.734–0.741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Подозрительно низко для «модели показали ответ». Причина — перед подачей в сеть признаки стандартизировались (вычитание среднего, деление на разброс). Но метка зависит только от знака этих чисел, а среднее значение CMRO2%change у пациента почти никогда не равно нулю — вычитание среднего сдвигает точку «нуля» и переворачивает знак у вокселей с маленькой по модулю величиной. Проверено на реальных данных 5 пациентов: 18–44% меток переворачивались из-за одной только нормализации.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1F2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157A6E"/>
                <w:spacing w:val="15"/>
                <w:sz w:val="16"/>
                <w:szCs w:val="16"/>
              </w:rPr>
              <w:t xml:space="preserve">СТАЛО: 0.955–0.975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Исправление — нормализация только по масштабу (деление на std, без вычитания среднего), которая сохраняет знак всегда. Проверено: 0 переворотов на тех же данных. Теперь цифра согласуется с проверкой на одном пациенте (0.956), которая и раньше была высокой.</w:t>
            </w:r>
          </w:p>
        </w:tc>
      </w:tr>
    </w:tbl>
    <w:p>
      <w:pPr>
        <w:spacing w:after="100"/>
      </w:pPr>
    </w:p>
    <w:p>
      <w:pPr>
        <w:spacing w:after="200" w:line="300"/>
      </w:pPr>
      <w:r>
        <w:rPr>
          <w:rFonts w:ascii="PT Serif" w:cs="PT Serif" w:eastAsia="PT Serif" w:hAnsi="PT Serif"/>
          <w:color w:val="7B8290"/>
          <w:sz w:val="19"/>
          <w:szCs w:val="19"/>
        </w:rPr>
        <w:t xml:space="preserve">Важно: баг сидел только в этой диагностической проверке. Ни один из 228 «настоящих» экспериментов этот признак не использовал — общий вывод не меняется, меняется только чистота самого санити-чека.</w:t>
      </w: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5"/>
          <w:szCs w:val="15"/>
        </w:rPr>
        <w:t xml:space="preserve">НЕЗАВИСИМОЕ ПОДТВЕРЖДЕНИЕ</w:t>
      </w:r>
    </w:p>
    <w:p>
      <w:pPr>
        <w:pStyle w:val="Heading1"/>
        <w:spacing w:after="160" w:before="320"/>
      </w:pPr>
      <w:r>
        <w:rPr>
          <w:rFonts w:ascii="PT Serif" w:cs="PT Serif" w:eastAsia="PT Serif" w:hAnsi="PT Serif"/>
          <w:b/>
          <w:bCs/>
          <w:color w:val="1B1E23"/>
          <w:sz w:val="30"/>
          <w:szCs w:val="30"/>
        </w:rPr>
        <w:t xml:space="preserve">Büchel et al., 2026 (рецензируемый препринт eLife / bioRxiv)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«Opposing BOLD signals and oxygen metabolism largely arise from statistical uncertainty in metabolic estimates» — прямая методологическая переоценка того самого источника метки (Epp et al., Nature Neuroscience 2025), на котором построен весь проект.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9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5B3E96"/>
                <w:spacing w:val="15"/>
                <w:sz w:val="16"/>
                <w:szCs w:val="16"/>
              </w:rPr>
              <w:t xml:space="preserve">ГЛАВНАЯ ЦИФРА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77.2% вокселей нельзя надёжно классифицировать как concordant/discordant, если учесть статистическую неопределённость самой оценки ΔCMRO₂ — знака эффекта просто не хватает достоверности определить. Там, где классификация возможна, положительный BOLD обычно согласован с метаболизмом, а рассогласование концентрируется в отрицательном BOLD.</w:t>
            </w:r>
          </w:p>
        </w:tc>
      </w:tr>
    </w:tbl>
    <w:p>
      <w:pPr>
        <w:spacing w:after="100"/>
      </w:pPr>
    </w:p>
    <w:p>
      <w:pPr>
        <w:spacing w:after="20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Проверено на своих данных шестью разными способами (фильтрация по надёжности, ROI-усреднение, двойной фильтр, 3-классовая постановка, настоящая Z-статистика, групповой анализ популяции) — ни один способ операционализировать эту находку в предиктор не сработал после проверки против базового уровня.</w:t>
      </w: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5"/>
          <w:szCs w:val="15"/>
        </w:rPr>
        <w:t xml:space="preserve">ГИПОТЕЗА РУКОВОДИТЕЛЯ</w:t>
      </w:r>
    </w:p>
    <w:p>
      <w:pPr>
        <w:pStyle w:val="Heading1"/>
        <w:spacing w:after="160" w:before="320"/>
      </w:pPr>
      <w:r>
        <w:rPr>
          <w:rFonts w:ascii="PT Serif" w:cs="PT Serif" w:eastAsia="PT Serif" w:hAnsi="PT Serif"/>
          <w:b/>
          <w:bCs/>
          <w:color w:val="1B1E23"/>
          <w:sz w:val="30"/>
          <w:szCs w:val="30"/>
        </w:rPr>
        <w:t xml:space="preserve">Сосудистая морфология (CBV) — проверена напрямую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Отдельно стоит проговорить — это была собственная гипотеза руководителя, проверена напрямую и заслуживает уважительного и точного изложения.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1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B4791C"/>
                <w:spacing w:val="15"/>
                <w:sz w:val="16"/>
                <w:szCs w:val="16"/>
              </w:rPr>
              <w:t xml:space="preserve">МЕХАНИЗМ — ФИЗИЧЕСКИ РЕАЛЕН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Не «алиасинг» (это требовало бы сохраняющего информацию наложения периодической структуры), а усреднение по частичному объёму: наблюдаемая релаксация T1/T2/T2* вокселя — взвешенное среднее по кровяному и тканевому компартментам, и локальная доля крови в вокселе измеримо сдвигает это среднее. Тот же принцип, на котором построена DSC/BOLD-визуализация.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E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A6403A"/>
                <w:spacing w:val="15"/>
                <w:sz w:val="16"/>
                <w:szCs w:val="16"/>
              </w:rPr>
              <w:t xml:space="preserve">РЕЗУЛЬТАТ — NULL, НО ПРОВЕРКА ПРЯМАЯ И ЧЕСТНАЯ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Базовый CBV добавлен как второй канал к T1 (4 комбинации calc/mem × A/B): точность 0.506–0.524 против базового уровня 0.508–0.534 — не превосходит его ни разу. Тот же паттерн, что и у CBF/OEF, атласа, ансамбля. Гипотеза физически обоснована, но конкретно эта карта на этом разрешении не несёт обнаружимого следа.</w:t>
            </w:r>
          </w:p>
        </w:tc>
      </w:tr>
    </w:tbl>
    <w:p>
      <w:pPr>
        <w:spacing w:after="2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5"/>
          <w:szCs w:val="15"/>
        </w:rPr>
        <w:t xml:space="preserve">ЧТО РЕАЛЬНО ЗАБЛОКИРОВАНО</w:t>
      </w:r>
    </w:p>
    <w:p>
      <w:pPr>
        <w:pStyle w:val="Heading1"/>
        <w:spacing w:after="160" w:before="320"/>
      </w:pPr>
      <w:r>
        <w:rPr>
          <w:rFonts w:ascii="PT Serif" w:cs="PT Serif" w:eastAsia="PT Serif" w:hAnsi="PT Serif"/>
          <w:b/>
          <w:bCs/>
          <w:color w:val="1B1E23"/>
          <w:sz w:val="30"/>
          <w:szCs w:val="30"/>
        </w:rPr>
        <w:t xml:space="preserve">FreeSurfer surface-based обработка</w:t>
      </w:r>
    </w:p>
    <w:p>
      <w:pPr>
        <w:spacing w:after="22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Единственный пункт, который остаётся по-настоящему заблокированным, с конкретными доказательствами, а не предположением. Две независимые причины: у FreeSurfer нет пакета PyPI — это лицензируемый бинарный дистрибутив, а не Python-библиотека. И отдельно — T1 этого датасета покрывает только 99мм по оси нижний-верхний (30 срезов × 3.3мм), меньше, чем нужно recon-all для реконструкции поверхности всего мозга, вне зависимости от доступности софта.</w:t>
      </w: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5"/>
          <w:szCs w:val="15"/>
        </w:rPr>
        <w:t xml:space="preserve">ПУТИ ВПЕРЁД</w:t>
      </w:r>
    </w:p>
    <w:p>
      <w:pPr>
        <w:pStyle w:val="Heading1"/>
        <w:spacing w:after="160" w:before="320"/>
      </w:pPr>
      <w:r>
        <w:rPr>
          <w:rFonts w:ascii="PT Serif" w:cs="PT Serif" w:eastAsia="PT Serif" w:hAnsi="PT Serif"/>
          <w:b/>
          <w:bCs/>
          <w:color w:val="1B1E23"/>
          <w:sz w:val="30"/>
          <w:szCs w:val="30"/>
        </w:rPr>
        <w:t xml:space="preserve">Что предложить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Новый датасет с более плотными повторными измерениями — позволил бы оценивать статистическую надёжность метки на каждый воксель напрямую, закрывая пробел, который описывают Büchel et 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Данные с полным покрытием мозга по T1 — открыло бы surface-based обработку атласа через FreeSurfer, методологически точнее объёмного приближения.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Публикация самого методологического результата — честная, воспроизводимая, исчерпывающая проверка гипотезы, которая приходит к тому же выводу, что и независимая рецензируемая переоценка источника метки.</w:t>
      </w:r>
    </w:p>
    <w:p>
      <w:pPr>
        <w:spacing w:after="220"/>
      </w:pPr>
    </w:p>
    <w:p>
      <w:pPr>
        <w:pageBreakBefore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5"/>
          <w:szCs w:val="15"/>
        </w:rPr>
        <w:t xml:space="preserve">ВЕРОЯТНЫЕ ВОПРОСЫ И ГОТОВЫЕ ОТВЕТЫ</w:t>
      </w:r>
    </w:p>
    <w:p>
      <w:pPr>
        <w:pStyle w:val="Heading1"/>
        <w:spacing w:after="160" w:before="320"/>
      </w:pPr>
      <w:r>
        <w:rPr>
          <w:rFonts w:ascii="PT Serif" w:cs="PT Serif" w:eastAsia="PT Serif" w:hAnsi="PT Serif"/>
          <w:b/>
          <w:bCs/>
          <w:color w:val="1B1E23"/>
          <w:sz w:val="30"/>
          <w:szCs w:val="30"/>
        </w:rPr>
        <w:t xml:space="preserve">Заготовки для разговора</w:t>
      </w:r>
    </w:p>
    <w:p>
      <w:pPr>
        <w:spacing w:after="70" w:before="200"/>
      </w:pPr>
      <w:r>
        <w:rPr>
          <w:rFonts w:ascii="PT Sans" w:cs="PT Sans" w:eastAsia="PT Sans" w:hAnsi="PT Sans"/>
          <w:b/>
          <w:bCs/>
          <w:color w:val="5B3E96"/>
          <w:sz w:val="21"/>
          <w:szCs w:val="21"/>
        </w:rPr>
        <w:t xml:space="preserve">В: </w:t>
      </w:r>
      <w:r>
        <w:rPr>
          <w:rFonts w:ascii="PT Serif" w:cs="PT Serif" w:eastAsia="PT Serif" w:hAnsi="PT Serif"/>
          <w:b/>
          <w:bCs/>
          <w:color w:val="1B1E23"/>
          <w:sz w:val="21"/>
          <w:szCs w:val="21"/>
        </w:rPr>
        <w:t xml:space="preserve">А вдруг просто нужна другая архитектура / больше данных?</w:t>
      </w:r>
    </w:p>
    <w:p>
      <w:pPr>
        <w:spacing w:after="60" w:line="290"/>
        <w:ind w:left="260"/>
      </w:pPr>
      <w:r>
        <w:rPr>
          <w:rFonts w:ascii="PT Sans" w:cs="PT Sans" w:eastAsia="PT Sans" w:hAnsi="PT Sans"/>
          <w:b/>
          <w:bCs/>
          <w:color w:val="157A6E"/>
          <w:sz w:val="20"/>
          <w:szCs w:val="20"/>
        </w:rPr>
        <w:t xml:space="preserve">О: </w:t>
      </w:r>
      <w:r>
        <w:rPr>
          <w:rFonts w:ascii="PT Serif" w:cs="PT Serif" w:eastAsia="PT Serif" w:hAnsi="PT Serif"/>
          <w:color w:val="4A505C"/>
          <w:sz w:val="20"/>
          <w:szCs w:val="20"/>
        </w:rPr>
        <w:t xml:space="preserve">Проверено 5 архитектур включая предобученный на внешних данных 46М-параметровый backbone, и их ансамбль — все независимо нулевые. Использовано 39 из 40 пациентов датасета. Оракульный контроль показывает: пайплайн способен находить сигнал, когда он есть (0.955–0.975) — значит, потолок не в архитектуре и не в объёме данных.</w:t>
      </w:r>
    </w:p>
    <w:p>
      <w:pPr>
        <w:spacing w:after="70" w:before="200"/>
      </w:pPr>
      <w:r>
        <w:rPr>
          <w:rFonts w:ascii="PT Sans" w:cs="PT Sans" w:eastAsia="PT Sans" w:hAnsi="PT Sans"/>
          <w:b/>
          <w:bCs/>
          <w:color w:val="5B3E96"/>
          <w:sz w:val="21"/>
          <w:szCs w:val="21"/>
        </w:rPr>
        <w:t xml:space="preserve">В: </w:t>
      </w:r>
      <w:r>
        <w:rPr>
          <w:rFonts w:ascii="PT Serif" w:cs="PT Serif" w:eastAsia="PT Serif" w:hAnsi="PT Serif"/>
          <w:b/>
          <w:bCs/>
          <w:color w:val="1B1E23"/>
          <w:sz w:val="21"/>
          <w:szCs w:val="21"/>
        </w:rPr>
        <w:t xml:space="preserve">Вы уверены, что это не баг в коде?</w:t>
      </w:r>
    </w:p>
    <w:p>
      <w:pPr>
        <w:spacing w:after="60" w:line="290"/>
        <w:ind w:left="260"/>
      </w:pPr>
      <w:r>
        <w:rPr>
          <w:rFonts w:ascii="PT Sans" w:cs="PT Sans" w:eastAsia="PT Sans" w:hAnsi="PT Sans"/>
          <w:b/>
          <w:bCs/>
          <w:color w:val="157A6E"/>
          <w:sz w:val="20"/>
          <w:szCs w:val="20"/>
        </w:rPr>
        <w:t xml:space="preserve">О: </w:t>
      </w:r>
      <w:r>
        <w:rPr>
          <w:rFonts w:ascii="PT Serif" w:cs="PT Serif" w:eastAsia="PT Serif" w:hAnsi="PT Serif"/>
          <w:color w:val="4A505C"/>
          <w:sz w:val="20"/>
          <w:szCs w:val="20"/>
        </w:rPr>
        <w:t xml:space="preserve">Именно поэтому в проект встроен оракульный санити-чек — и он положительный. Плюс дисциплина сверки с базовым уровнем, которая уже один раз поймала и исправила ложно многообещающий результат (0.627). Ошибки искали активно и находили — в том числе в самом расчёте sanity-check.</w:t>
      </w:r>
    </w:p>
    <w:p>
      <w:pPr>
        <w:spacing w:after="70" w:before="200"/>
      </w:pPr>
      <w:r>
        <w:rPr>
          <w:rFonts w:ascii="PT Sans" w:cs="PT Sans" w:eastAsia="PT Sans" w:hAnsi="PT Sans"/>
          <w:b/>
          <w:bCs/>
          <w:color w:val="5B3E96"/>
          <w:sz w:val="21"/>
          <w:szCs w:val="21"/>
        </w:rPr>
        <w:t xml:space="preserve">В: </w:t>
      </w:r>
      <w:r>
        <w:rPr>
          <w:rFonts w:ascii="PT Serif" w:cs="PT Serif" w:eastAsia="PT Serif" w:hAnsi="PT Serif"/>
          <w:b/>
          <w:bCs/>
          <w:color w:val="1B1E23"/>
          <w:sz w:val="21"/>
          <w:szCs w:val="21"/>
        </w:rPr>
        <w:t xml:space="preserve">Почему точность именно 0.48–0.55, а не ровно 0.5?</w:t>
      </w:r>
    </w:p>
    <w:p>
      <w:pPr>
        <w:spacing w:after="60" w:line="290"/>
        <w:ind w:left="260"/>
      </w:pPr>
      <w:r>
        <w:rPr>
          <w:rFonts w:ascii="PT Sans" w:cs="PT Sans" w:eastAsia="PT Sans" w:hAnsi="PT Sans"/>
          <w:b/>
          <w:bCs/>
          <w:color w:val="157A6E"/>
          <w:sz w:val="20"/>
          <w:szCs w:val="20"/>
        </w:rPr>
        <w:t xml:space="preserve">О: </w:t>
      </w:r>
      <w:r>
        <w:rPr>
          <w:rFonts w:ascii="PT Serif" w:cs="PT Serif" w:eastAsia="PT Serif" w:hAnsi="PT Serif"/>
          <w:color w:val="4A505C"/>
          <w:sz w:val="20"/>
          <w:szCs w:val="20"/>
        </w:rPr>
        <w:t xml:space="preserve">Классы не всегда идеально сбалансированы 50/50 в конкретном разбиении — 0.5 не тот базовый уровень, который нужно бить. Правильный базовый уровень — «всегда предсказывать более частый класс» в этом конкретном тестовом наборе, и модель не превосходит именно его.</w:t>
      </w:r>
    </w:p>
    <w:p>
      <w:pPr>
        <w:spacing w:after="70" w:before="200"/>
      </w:pPr>
      <w:r>
        <w:rPr>
          <w:rFonts w:ascii="PT Sans" w:cs="PT Sans" w:eastAsia="PT Sans" w:hAnsi="PT Sans"/>
          <w:b/>
          <w:bCs/>
          <w:color w:val="5B3E96"/>
          <w:sz w:val="21"/>
          <w:szCs w:val="21"/>
        </w:rPr>
        <w:t xml:space="preserve">В: </w:t>
      </w:r>
      <w:r>
        <w:rPr>
          <w:rFonts w:ascii="PT Serif" w:cs="PT Serif" w:eastAsia="PT Serif" w:hAnsi="PT Serif"/>
          <w:b/>
          <w:bCs/>
          <w:color w:val="1B1E23"/>
          <w:sz w:val="21"/>
          <w:szCs w:val="21"/>
        </w:rPr>
        <w:t xml:space="preserve">Какая практическая ценность отрицательного результата?</w:t>
      </w:r>
    </w:p>
    <w:p>
      <w:pPr>
        <w:spacing w:after="60" w:line="290"/>
        <w:ind w:left="260"/>
      </w:pPr>
      <w:r>
        <w:rPr>
          <w:rFonts w:ascii="PT Sans" w:cs="PT Sans" w:eastAsia="PT Sans" w:hAnsi="PT Sans"/>
          <w:b/>
          <w:bCs/>
          <w:color w:val="157A6E"/>
          <w:sz w:val="20"/>
          <w:szCs w:val="20"/>
        </w:rPr>
        <w:t xml:space="preserve">О: </w:t>
      </w:r>
      <w:r>
        <w:rPr>
          <w:rFonts w:ascii="PT Serif" w:cs="PT Serif" w:eastAsia="PT Serif" w:hAnsi="PT Serif"/>
          <w:color w:val="4A505C"/>
          <w:sz w:val="20"/>
          <w:szCs w:val="20"/>
        </w:rPr>
        <w:t xml:space="preserve">Тройная: независимо подтверждает рецензируемую находку 2026 года о шумном источнике метки; даёт конкретные требования к датасету, которые нужны, чтобы задачу можно было решить; методологически чистый пример с санити-чеком и прозрачными исправлениями, который можно опубликовать как честную негативную работу.</w:t>
      </w:r>
    </w:p>
    <w:p>
      <w:pPr>
        <w:spacing w:after="70" w:before="200"/>
      </w:pPr>
      <w:r>
        <w:rPr>
          <w:rFonts w:ascii="PT Sans" w:cs="PT Sans" w:eastAsia="PT Sans" w:hAnsi="PT Sans"/>
          <w:b/>
          <w:bCs/>
          <w:color w:val="5B3E96"/>
          <w:sz w:val="21"/>
          <w:szCs w:val="21"/>
        </w:rPr>
        <w:t xml:space="preserve">В: </w:t>
      </w:r>
      <w:r>
        <w:rPr>
          <w:rFonts w:ascii="PT Serif" w:cs="PT Serif" w:eastAsia="PT Serif" w:hAnsi="PT Serif"/>
          <w:b/>
          <w:bCs/>
          <w:color w:val="1B1E23"/>
          <w:sz w:val="21"/>
          <w:szCs w:val="21"/>
        </w:rPr>
        <w:t xml:space="preserve">А если попробовать ещё что-то?</w:t>
      </w:r>
    </w:p>
    <w:p>
      <w:pPr>
        <w:spacing w:after="60" w:line="290"/>
        <w:ind w:left="260"/>
      </w:pPr>
      <w:r>
        <w:rPr>
          <w:rFonts w:ascii="PT Sans" w:cs="PT Sans" w:eastAsia="PT Sans" w:hAnsi="PT Sans"/>
          <w:b/>
          <w:bCs/>
          <w:color w:val="157A6E"/>
          <w:sz w:val="20"/>
          <w:szCs w:val="20"/>
        </w:rPr>
        <w:t xml:space="preserve">О: </w:t>
      </w:r>
      <w:r>
        <w:rPr>
          <w:rFonts w:ascii="PT Serif" w:cs="PT Serif" w:eastAsia="PT Serif" w:hAnsi="PT Serif"/>
          <w:color w:val="4A505C"/>
          <w:sz w:val="20"/>
          <w:szCs w:val="20"/>
        </w:rPr>
        <w:t xml:space="preserve">Повторный неограниченный перебор на этом этапе — риск ложноположительного результата по случайности (множественные сравнения), а не тщательность. Единственные два исключения после формальной точки остановки — ансамбль и прямая проверка гипотезы CBV — были принципиальными, однократными проверками, и оба тоже дали null.</w:t>
      </w:r>
    </w:p>
    <w:p>
      <w:pPr>
        <w:spacing w:after="70" w:before="200"/>
      </w:pPr>
      <w:r>
        <w:rPr>
          <w:rFonts w:ascii="PT Sans" w:cs="PT Sans" w:eastAsia="PT Sans" w:hAnsi="PT Sans"/>
          <w:b/>
          <w:bCs/>
          <w:color w:val="5B3E96"/>
          <w:sz w:val="21"/>
          <w:szCs w:val="21"/>
        </w:rPr>
        <w:t xml:space="preserve">В: </w:t>
      </w:r>
      <w:r>
        <w:rPr>
          <w:rFonts w:ascii="PT Serif" w:cs="PT Serif" w:eastAsia="PT Serif" w:hAnsi="PT Serif"/>
          <w:b/>
          <w:bCs/>
          <w:color w:val="1B1E23"/>
          <w:sz w:val="21"/>
          <w:szCs w:val="21"/>
        </w:rPr>
        <w:t xml:space="preserve">Атлас Glasser — это точно правильный атлас?</w:t>
      </w:r>
    </w:p>
    <w:p>
      <w:pPr>
        <w:spacing w:after="60" w:line="290"/>
        <w:ind w:left="260"/>
      </w:pPr>
      <w:r>
        <w:rPr>
          <w:rFonts w:ascii="PT Sans" w:cs="PT Sans" w:eastAsia="PT Sans" w:hAnsi="PT Sans"/>
          <w:b/>
          <w:bCs/>
          <w:color w:val="157A6E"/>
          <w:sz w:val="20"/>
          <w:szCs w:val="20"/>
        </w:rPr>
        <w:t xml:space="preserve">О: </w:t>
      </w:r>
      <w:r>
        <w:rPr>
          <w:rFonts w:ascii="PT Serif" w:cs="PT Serif" w:eastAsia="PT Serif" w:hAnsi="PT Serif"/>
          <w:color w:val="4A505C"/>
          <w:sz w:val="20"/>
          <w:szCs w:val="20"/>
        </w:rPr>
        <w:t xml:space="preserve">Да, настоящий Glasser/HCP-MMP1.0 (360 корковых областей), зарегистрирован в пространство каждого пациента. Ограничение честно раскрыто: это объёмное приближение, не surface-based. Результат (0.510–0.523) всё равно на уровне случайности.</w:t>
      </w:r>
    </w:p>
    <w:p>
      <w:pPr>
        <w:spacing w:after="280"/>
      </w:pPr>
    </w:p>
    <w:p>
      <w:pPr>
        <w:pBdr>
          <w:top w:val="single" w:color="DFDCD3" w:sz="4"/>
        </w:pBdr>
        <w:spacing w:before="200"/>
      </w:pPr>
      <w:r>
        <w:rPr>
          <w:rFonts w:ascii="PT Sans" w:cs="PT Sans" w:eastAsia="PT Sans" w:hAnsi="PT Sans"/>
          <w:color w:val="7B8290"/>
          <w:sz w:val="16"/>
          <w:szCs w:val="16"/>
        </w:rPr>
        <w:t xml:space="preserve">Полные технические детали, все 228 прогонов и код — в репозитории, ветка patient-structural-classification. Этот документ — личный конспект для разговора.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2026-09-22T11:56:39.793Z</dcterms:created>
  <dcterms:modified xsi:type="dcterms:W3CDTF">2026-09-22T11:56:39.807Z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