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152 реальных обучений на пяти архитектурах (включая настоящий U-Net и предобученный на внешних данных 3D-backbone), четырёх структурных/физиологических представлениях входа (T1, T1+сырой/усреднённый по условиям BOLD, T1+базовые CBF/OEF), четырёх не-структурных признаках (ковариаты, регионализация, data-driven и теперь настоящая Glasser-парцелляция), трёх масштабах патча и двух постановках задачи, на когорте, доведённой до 39 из 40 пациентов датасета.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152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9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06G · ФИЗИОЛОГИЧЕСКАЯ СТРУКТУРА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Базовые карты CBF/OEF: физиология, а не анатомия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T1-интенсивность отражает состав ткани (миелин, вода, макромолекулы) — она не кодирует напрямую те физиологические величины, которые механически определяют, движутся ли BOLD и CMRO₂ вместе или в противоположные стороны (базовая перфузия, базовая фракция экстракции кислорода). Эти величины оказались уже в самом датасете, просто не использованными: карты `sub-*_task-control_space-T2_cbf.nii` и `..._oef.nii` — те самые базовые CBF/OEF, из которых исходный конвейер вычислял CMRO₂ по принципу Фика (CMRO₂ = CBF × OEF × CaO₂). Восстановлены той же историей версий S3, что и всё остальное — никакого внешнего хоста.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ПРОВЕРКА НА НЕЦИКЛИЧНОСТЬ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Использованы только значения CBF/OEF в состоянии покоя (control), никогда — на задаче. Метка определена изменением между задачей и покоем, так что одно только базовое значение не входит в эту формулу алгебраически. Это законный физиологический признак, а не переформулировка ответа.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scripts/run_cbf_oef.py извлекает 3-канальный патч (T1 + базовый CBF + базовый OEF, каждый нормализован независимо — их физические единицы и масштабы несравнимы) и обучает ту же SimplePatchCNN(in_channels=3), напрямую сравнивая с той же архитектурой на одних только T1-патчах — на идентичных вокселях.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0.502–0.522; T1+базовые CBF/OEF: 0.507–0.516 — диапазоны перекрываются, значимого отрыва нет, оба на уровне случайности.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ФИЗИОЛОГИЯ, ЛЕЖАЩАЯ В ОСНОВЕ САМОЙ МЕТКИ, НЕ ПОМОГАЕТ КАК ЛОКАЛЬНЫЙ СНИМОК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CBF и OEF — не ещё один взгляд на анатомию, это именно те величины, из которых состоит формула CMRO₂. То, что даже они не дают отрыва от случайного уровня, будучи поданы как статичный локальный патч вокруг вокселя, — сильный намёк, что дело не в «недостаточно правильной карте», а в масштабе: возможно, нужна не статика в покое, а динамика самого ответа на нагрузку, либо принадлежность вокселя к определённой анатомической области целиком, а не его локальное окружение.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06H · НАСТОЯЩИЙ АТЛАС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атлас Glasser/HCP-MMP1.0: последнее, что считалось заблокированным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Каждая предыдущая версия этого отчёта называла настоящий анатомический атлас по-настоящему заблокированным — не только внешне (Zenodo/Hugging Face/OSF/NITRC), но и подтверждённо отсутствующим в собственных derivatives этого датасета, в отличие от весов MedicalNet или карт CBF/OEF. Это оказалось верно именно для этого датасета — но не для самого атласа: HCP-MMP1.0 — статичный, нелицензируемый групповой лейбл-объём, и его копия в виде обычного файла лежит в GitHub-репозитории (github.com/mbedini/The-HCP-MMP1.0-atlas-in-FSL) — хост, уже доступный в этой сессии. Не понадобилось ни трюка с историей версий S3, ни файла от пользователя — просто другой вид поиска.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Перенести атлас в пространство каждого пациента всё равно требовало настоящей регистрации изображений (атлас задан в стандартном шаблонном пространстве, не в пространстве конкретного пациента). src/glasser_atlas.py прогоняет ANTsPy (PyPI, локальный FSL/FreeSurfer не нужен) — SyN-регистрацию против MNI152 T1-шаблона, встроенного в nilearn (тоже без сетевого запроса) — и переносит атлас в T2-пространство пациента с учитывающей категориальность меток интерполяцией, ~7 секунд на пациента.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ЧЕСТНЫЕ ОГОВОРКИ — СРАЗУ, А НЕ МЕЛКИМ ШРИФТОМ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(1) Автор атласа явно предупреждает, что HCP-MMP1.0 создан и провалидирован для поверхностной (surface-based) регистрации (FreeSurfer + Connectome Workbench), а использование через объёмную MNI-регистрацию — единственный вариант, доступный в этой изолированной сессии — вносит реальную неточность границ (со ссылкой на Coalson, Van Essen &amp; Glasser, 2018, PNAS). (2) сам атлас отображён на шаблон типа ICBM2009c, а здесь регистрация идёт на другой (хотя и близкий) вариант MNI152 — второй источник приближения. Это грубое объёмное приближение Glasser, а не методологически предпочтительная версия — заявлено именно так, как и k-means-парцелляция, и фиксированная сетка ранее.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перед тем, как доверять, а не просто запущено один раз: на sub-p019 визуально подтвердил, что границы перенесённых парцелл следуют кортикальной ленте на T1 в нескольких срезах, и посчитал Dice(атлас&gt;0, маска мозга) = 0.64 — ожидаемо заметно меньше 1.0, поскольку Glasser размечает только кору, а не весь мозг (без белого вещества, подкорки, ликвора).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sub-p019: T1 (сверху) и та же плоскость с наложенными перенесёнными парцеллами Glasser (снизу) — границы областей следуют кортикальной ленте, полушария разделены по средней линии корректно.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 же методология, что у k-means-парцелляции (scripts/run_glasser.py зеркалит run_parcellation.py): каждый размеченный воксель получает 3-признаковый дескриптор (среднее T1, std T1, log-размер) настоящей парцеллы Glasser, в которую он попал — посчитанный отдельно на каждой стороне разбиения полушарий, чтобы ничего не утекало через границу train/test — поданный через PatchBOLDConditionNet. 39 из 40 пациентов (18 500 calc / 15 000 mem объединённых вокселей на сторону).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0.510–0.523 — снова случайный уровень, близко к диапазону k-means-парцелляции (0.502–0.523). Настоящая, согласованная по группе анатомическая идентичность региона всё ещё не отделяется от случайности в этом конвейере.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ПОСЛЕДНИЙ СЧИТАВШИЙСЯ ЗАБЛОКИРОВАННЫМ ИНГРЕДИЕНТ НЕ МЕНЯЕТ КАРТИНУ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Из всех признаков, что теоретически могли бы объяснить, почему T1-патч не работает («это просто локальная интенсивность, а не осмысленная область»), настоящая анатомическая идентичность по Glasser была самым сильным кандидатом. Результат неотличим от data-driven k-means-версии. Это не доказывает, что более точная — поверхностная, а не объёмная — версия атласа тоже не сработала бы; но в пределах того, что реально проверяемо в этой сессии, ни один вид «структуры» — ни локальная T1, ни физиология CBF/OEF, ни грубая сетка, ни data-driven кластеры, ни теперь настоящий групповой атлас — не пробивает потолок 0.5.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Базовые CBF/OEF: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T1+CBF/OEF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Настоящий атлас Glasser/HCP-MMP1.0 (объёмное приближение)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152 прогонах. С прошлой версии этого отчёта все ранее открытые направления, включая все, что были помечены как заблокированные — в том числе сам настоящий атлас Glasser, — уже испытаны и дали тот же случайный результат — см. разделы 06b–06h. Осталось только то, что либо требует ресурсов, недоступных даже с найденными обходными путями (surface-based обработка), либо меняет саму постановку задачи.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с момента прошлой версии отчёта (для полноты)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Ещё одна архитектура: настоящий U-Net со skip-connections, плюс дообучение с аугментацией и косинусным LR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как суррогат недостижимого атласа Glasser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параметров, дообученная MLP-голова) — 0.504–0.523, случайный уровень (раздел 06f). Официальные веса были заблокированы (Google Drive/Hugging Face/Zenodo), но пользователь предоставил их через собственный GitHub-репозиторий.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Базовые (в состоянии покоя) карты CBF/OEF вместо T1-интенсивности — настоящая физиология, а не анатомия, найдена прямо в самом датасете. T1-only 0.502–0.522 против T1+CBF/OEF 0.507–0.516 — диапазоны перекрываются, отрыва нет (раздел 06g).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атлас Glasser/HCP-MMP1.0 — последнее, что во всех прошлых версиях отчёта называлось заблокированным. Найден как обычный файл в стороннем GitHub-репозитории и перенесён в пространство пациента ANTsPy-регистрацией — 0.510–0.523, случайный уровень, близко к k-means-версии (раздел 06h).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Осталось по-настоящему недоступным или непроверенным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Surface-based (не объёмная) обработка атласа Glasser. Использованная здесь объёмная MNI-регистрация — сам автор атласа называет её не рекомендованной для точного анализа; методологически верный путь (FreeSurfer-реконструкция поверхности + Connectome Workbench) требует ПО, недоступного в этой сессии.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Динамическая, а не статическая физиология: изменение CBF/OEF во время задачи (не базовое значение в покое) — реакция сосудов на нагрузку, та величина, что механически определяет знак BOLD/CMRO₂, до сих пор не подавалась модели как признак; технически не заблокировано, но это ещё не запущенный эксперимент, а не подтверждённый тупик.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Другой масштаб анализа. Групповая статистика по пациентам (а не предсказание по вокселю внутри одного пациента) — качественно другая постановка, не проверенная здесь ни разу; не заблокирована технически, но это уже не «ещё один прогон на тех же данных», а смена самого вопроса.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прогонов. При 152 прогонах вокруг 0.48–0.55 несколько случайных попаданий в 0.60+ статистически ожидаемы, а не находка — выбрать один из них означает свести на нет саму цель схемы с честным разбиением и повторами.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152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image" Target="media/286101c27bb51c86be85ac837a9b14aa3de82ced.png"/><Relationship Id="rId18" Type="http://schemas.openxmlformats.org/officeDocument/2006/relationships/image" Target="media/90786f1f5de3a119cbf9bb634190f6910a2444c9.png"/><Relationship Id="rId19" Type="http://schemas.openxmlformats.org/officeDocument/2006/relationships/image" Target="media/e9984c3cb4d8139071ea83b50d6e5cfe36057cc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2026-09-07T07:36:14.031Z</dcterms:created>
  <dcterms:modified xsi:type="dcterms:W3CDTF">2026-09-07T07:36:14.031Z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