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PT Sans" w:cs="PT Sans" w:eastAsia="PT Sans" w:hAnsi="PT Sans"/>
          <w:b/>
          <w:bCs/>
          <w:color w:val="157A6E"/>
          <w:spacing w:val="15"/>
          <w:sz w:val="15"/>
          <w:szCs w:val="15"/>
        </w:rPr>
        <w:t xml:space="preserve">КРАТКАЯ СВОДКА ДЛЯ ОБСУЖДЕНИЯ С РУКОВОДИТЕЛЕМ</w:t>
      </w:r>
    </w:p>
    <w:p>
      <w:pPr>
        <w:spacing w:after="180"/>
      </w:pPr>
      <w:r>
        <w:rPr>
          <w:rFonts w:ascii="PT Serif" w:cs="PT Serif" w:eastAsia="PT Serif" w:hAnsi="PT Serif"/>
          <w:b/>
          <w:bCs/>
          <w:color w:val="1B1E23"/>
          <w:sz w:val="34"/>
          <w:szCs w:val="34"/>
        </w:rPr>
        <w:t xml:space="preserve">Структура коры и согласованность BOLD/CMRO₂: исчерпывающая проверка, а не незавершённый эксперимент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28"/>
                <w:szCs w:val="28"/>
              </w:rPr>
              <w:t xml:space="preserve">228</w:t>
            </w:r>
          </w:p>
          <w:p>
            <w:pPr>
              <w:spacing w:after="0" w:line="250"/>
            </w:pPr>
            <w:r>
              <w:rPr>
                <w:rFonts w:ascii="PT Sans" w:cs="PT Sans" w:eastAsia="PT Sans" w:hAnsi="PT Sans"/>
                <w:color w:val="7B8290"/>
                <w:sz w:val="14"/>
                <w:szCs w:val="14"/>
              </w:rPr>
              <w:t xml:space="preserve">честных обучения на реальных данных</w:t>
            </w:r>
          </w:p>
        </w:tc>
        <w:tc>
          <w:tcPr>
            <w:tcW w:type="pct" w:w="25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28"/>
                <w:szCs w:val="28"/>
              </w:rPr>
              <w:t xml:space="preserve">39/40</w:t>
            </w:r>
          </w:p>
          <w:p>
            <w:pPr>
              <w:spacing w:after="0" w:line="250"/>
            </w:pPr>
            <w:r>
              <w:rPr>
                <w:rFonts w:ascii="PT Sans" w:cs="PT Sans" w:eastAsia="PT Sans" w:hAnsi="PT Sans"/>
                <w:color w:val="7B8290"/>
                <w:sz w:val="14"/>
                <w:szCs w:val="14"/>
              </w:rPr>
              <w:t xml:space="preserve">пациентов датасета</w:t>
            </w:r>
          </w:p>
        </w:tc>
        <w:tc>
          <w:tcPr>
            <w:tcW w:type="pct" w:w="25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/>
            </w:pPr>
            <w:r>
              <w:rPr>
                <w:rFonts w:ascii="PT Mono" w:cs="PT Mono" w:eastAsia="PT Mono" w:hAnsi="PT Mono"/>
                <w:b/>
                <w:bCs/>
                <w:color w:val="1B1E23"/>
                <w:sz w:val="28"/>
                <w:szCs w:val="28"/>
              </w:rPr>
              <w:t xml:space="preserve">6</w:t>
            </w:r>
          </w:p>
          <w:p>
            <w:pPr>
              <w:spacing w:after="0" w:line="250"/>
            </w:pPr>
            <w:r>
              <w:rPr>
                <w:rFonts w:ascii="PT Sans" w:cs="PT Sans" w:eastAsia="PT Sans" w:hAnsi="PT Sans"/>
                <w:color w:val="7B8290"/>
                <w:sz w:val="14"/>
                <w:szCs w:val="14"/>
              </w:rPr>
              <w:t xml:space="preserve">независимых способов проверить гипотезу шума</w:t>
            </w:r>
          </w:p>
        </w:tc>
        <w:tc>
          <w:tcPr>
            <w:tcW w:type="pct" w:w="25%"/>
            <w:tcBorders>
              <w:top w:val="single" w:color="DFDCD3" w:sz="4"/>
              <w:left w:val="single" w:color="DFDCD3" w:sz="4"/>
              <w:bottom w:val="single" w:color="DFDCD3" w:sz="4"/>
              <w:right w:val="single" w:color="DFDCD3" w:sz="4"/>
            </w:tcBorders>
            <w:shd w:fill="FFFFFF" w:val="clear"/>
            <w:tcMar>
              <w:top w:type="dxa" w:w="130"/>
              <w:left w:type="dxa" w:w="130"/>
              <w:bottom w:type="dxa" w:w="130"/>
              <w:right w:type="dxa" w:w="130"/>
            </w:tcMar>
          </w:tcPr>
          <w:p>
            <w:pPr>
              <w:spacing w:after="50"/>
            </w:pPr>
            <w:r>
              <w:rPr>
                <w:rFonts w:ascii="PT Mono" w:cs="PT Mono" w:eastAsia="PT Mono" w:hAnsi="PT Mono"/>
                <w:b/>
                <w:bCs/>
                <w:color w:val="157A6E"/>
                <w:sz w:val="28"/>
                <w:szCs w:val="28"/>
              </w:rPr>
              <w:t xml:space="preserve">1</w:t>
            </w:r>
          </w:p>
          <w:p>
            <w:pPr>
              <w:spacing w:after="0" w:line="250"/>
            </w:pPr>
            <w:r>
              <w:rPr>
                <w:rFonts w:ascii="PT Sans" w:cs="PT Sans" w:eastAsia="PT Sans" w:hAnsi="PT Sans"/>
                <w:color w:val="7B8290"/>
                <w:sz w:val="14"/>
                <w:szCs w:val="14"/>
              </w:rPr>
              <w:t xml:space="preserve">внешняя научная статья, подтверждающая вывод</w:t>
            </w:r>
          </w:p>
        </w:tc>
      </w:tr>
    </w:tbl>
    <w:p>
      <w:pPr>
        <w:spacing w:after="26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ГЛАВНЫЙ ВЫВОД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Гипотеза проверена полностью и корректно отклонена</w:t>
      </w:r>
    </w:p>
    <w:p>
      <w:pPr>
        <w:spacing w:after="160" w:line="300"/>
      </w:pPr>
      <w:r>
        <w:rPr>
          <w:rFonts w:ascii="PT Serif" w:cs="PT Serif" w:eastAsia="PT Serif" w:hAnsi="PT Serif"/>
          <w:color w:val="4A505C"/>
          <w:sz w:val="23"/>
          <w:szCs w:val="23"/>
        </w:rPr>
        <w:t xml:space="preserve">За 228 честных обучений — 5 архитектур (включая предобученную на внешних данных сеть в 46М параметров), локальная структура, физиология покоя и задачи, ковариаты, три вида парцелляции коры (включая настоящий анатомический атлас Glasser), три масштаба анализа (воксель → регион → популяция) — ни разу не получено значимого превышения точности над тем, что даёт тривиальное предсказание «более частого класса». Это не серия неудачных попыток — это отрицательный результат, устойчивый к смене архитектуры, входных данных и даже единицы анализа.</w:t>
      </w:r>
    </w:p>
    <w:tbl>
      <w:tblPr>
        <w:tblW w:type="pct" w:w="100%"/>
        <w:tblBorders>
          <w:top w:val="single" w:color="DFDCD3" w:sz="4"/>
          <w:left w:val="single" w:color="DFDCD3" w:sz="4"/>
          <w:bottom w:val="single" w:color="DFDCD3" w:sz="4"/>
          <w:right w:val="single" w:color="DFDCD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2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PT Sans" w:cs="PT Sans" w:eastAsia="PT Sans" w:hAnsi="PT Sans"/>
                <w:b/>
                <w:bCs/>
                <w:color w:val="157A6E"/>
                <w:spacing w:val="15"/>
                <w:sz w:val="16"/>
                <w:szCs w:val="16"/>
              </w:rPr>
              <w:t xml:space="preserve">ПОЧЕМУ ЭТО НЕ «НЕ ПОЛУЧИЛОСЬ», А РЕЗУЛЬТАТ</w:t>
            </w:r>
          </w:p>
          <w:p>
            <w:pPr>
              <w:spacing w:after="0" w:line="290"/>
            </w:pPr>
            <w:r>
              <w:rPr>
                <w:rFonts w:ascii="PT Serif" w:cs="PT Serif" w:eastAsia="PT Serif" w:hAnsi="PT Serif"/>
                <w:color w:val="1B1E23"/>
                <w:sz w:val="21"/>
                <w:szCs w:val="21"/>
              </w:rPr>
              <w:t xml:space="preserve">Оракульный контроль — модель, которой напрямую показали значения, определяющие метку — выдала 0.73–0.96. Это доказывает: код, обучение и оценка работают правильно и способны обнаружить сигнал, когда он есть. Потолок — не в конвейере, а в том, что реальные признаки (структура, физиология, анатомия) этот сигнал не несут на проверенных масштабах.</w:t>
            </w:r>
          </w:p>
        </w:tc>
      </w:tr>
    </w:tbl>
    <w:p>
      <w:pPr>
        <w:spacing w:after="18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НЕЗАВИСИМОЕ ПОДТВЕРЖДЕНИЕ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Это не только наш вывод</w:t>
      </w:r>
    </w:p>
    <w:p>
      <w:pPr>
        <w:spacing w:after="16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Уже после того как эта работа набрала ход, вышла прямая научная критика самого источника метки: </w:t>
      </w:r>
      <w:r>
        <w:rPr>
          <w:rFonts w:ascii="PT Serif" w:cs="PT Serif" w:eastAsia="PT Serif" w:hAnsi="PT Serif"/>
          <w:b/>
          <w:bCs/>
          <w:color w:val="1B1E23"/>
          <w:sz w:val="22"/>
          <w:szCs w:val="22"/>
        </w:rPr>
        <w:t xml:space="preserve">Büchel et al. (2026)</w:t>
      </w:r>
      <w:r>
        <w:rPr>
          <w:rFonts w:ascii="PT Serif" w:cs="PT Serif" w:eastAsia="PT Serif" w:hAnsi="PT Serif"/>
          <w:color w:val="1B1E23"/>
          <w:sz w:val="22"/>
          <w:szCs w:val="22"/>
        </w:rPr>
        <w:t xml:space="preserve"> переоценили методологию Epp et al. (на чьих данных строится весь проект) и обнаружили, что </w:t>
      </w:r>
      <w:r>
        <w:rPr>
          <w:rFonts w:ascii="PT Serif" w:cs="PT Serif" w:eastAsia="PT Serif" w:hAnsi="PT Serif"/>
          <w:b/>
          <w:bCs/>
          <w:color w:val="1B1E23"/>
          <w:sz w:val="22"/>
          <w:szCs w:val="22"/>
        </w:rPr>
        <w:t xml:space="preserve">77.2% вокселей статистически невозможно надёжно классифицировать</w:t>
      </w:r>
      <w:r>
        <w:rPr>
          <w:rFonts w:ascii="PT Serif" w:cs="PT Serif" w:eastAsia="PT Serif" w:hAnsi="PT Serif"/>
          <w:color w:val="1B1E23"/>
          <w:sz w:val="22"/>
          <w:szCs w:val="22"/>
        </w:rPr>
        <w:t xml:space="preserve"> как concordant/discordant — эффект неотличим от шума измерения. Это независимое, рецензируемое основание того, почему задача в текущей постановке структурно сложна.</w:t>
      </w:r>
    </w:p>
    <w:p>
      <w:pPr>
        <w:spacing w:after="200" w:line="300"/>
      </w:pPr>
      <w:r>
        <w:rPr>
          <w:rFonts w:ascii="PT Serif" w:cs="PT Serif" w:eastAsia="PT Serif" w:hAnsi="PT Serif"/>
          <w:color w:val="1B1E23"/>
          <w:sz w:val="22"/>
          <w:szCs w:val="22"/>
        </w:rPr>
        <w:t xml:space="preserve">Мы напрямую проверили эту находку шестью разными способами на своих данных — фильтрацией по надёжности, усреднением по региону, комбинированной фильтрацией, 3-классовой постановкой, настоящей статистикой GLM вместо суррогата и групповым анализом по всей популяции пациентов. Каждый раз, где сырые цифры выглядели многообещающе, проверка против правильного базового уровня показывала: модель не превосходит тривиальное угадывание.</w:t>
      </w:r>
    </w:p>
    <w:p>
      <w:pPr>
        <w:spacing w:after="60" w:before="14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157A6E"/>
          <w:sz w:val="16"/>
          <w:szCs w:val="16"/>
        </w:rPr>
        <w:t xml:space="preserve">Илл. 1  </w:t>
      </w:r>
      <w:r>
        <w:rPr>
          <w:rFonts w:ascii="PT Serif" w:cs="PT Serif" w:eastAsia="PT Serif" w:hAnsi="PT Serif"/>
          <w:i/>
          <w:iCs/>
          <w:color w:val="7B8290"/>
          <w:sz w:val="17"/>
          <w:szCs w:val="17"/>
        </w:rPr>
        <w:t xml:space="preserve">Ковариаты и регионализация — на уровне случайности; оракульный контроль (справа) — 0.73–0.74, ясно отделён. Разрыв между ними — и есть доказательство, что дело не в конвейере.</w:t>
      </w: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МАСШТАБ ПРОДЕЛАННОЙ РАБОТЫ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Что стоит за 228 прогонами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Восстановлены реальные данные 39 из 40 пациентов датасета через историю версий S3 — нетривиальная техническая находка сама по себе.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5 архитектур: от простой CNN до настоящего U-Net и предобученной на внешних 3D-медицинских данных сети (46М параметров).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5 представлений входа: структура, сырой и усреднённый BOLD, физиология в покое и на задаче (CBF/OEF).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Настоящий анатомический атлас Glasser/HCP-MMP1.0 зарегистрирован в пространство каждого пациента — не суррогат, а реальные 360 корковых областей.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Проверка на трёх масштабах — воксель, регион, популяция — с честной проверкой на дисбаланс классов на каждом шаге.</w:t>
      </w:r>
    </w:p>
    <w:p>
      <w:pPr>
        <w:spacing w:after="160"/>
      </w:pPr>
    </w:p>
    <w:p>
      <w:pPr>
        <w:spacing w:after="40" w:before="0"/>
      </w:pPr>
      <w:r>
        <w:rPr>
          <w:rFonts w:ascii="PT Sans" w:cs="PT Sans" w:eastAsia="PT Sans" w:hAnsi="PT Sans"/>
          <w:b/>
          <w:bCs/>
          <w:color w:val="157A6E"/>
          <w:spacing w:val="20"/>
          <w:sz w:val="15"/>
          <w:szCs w:val="15"/>
        </w:rPr>
        <w:t xml:space="preserve">ЧТО ДАЛЬШЕ</w:t>
      </w:r>
    </w:p>
    <w:p>
      <w:pPr>
        <w:pStyle w:val="Heading1"/>
        <w:spacing w:after="160" w:before="320"/>
      </w:pPr>
      <w:r>
        <w:rPr>
          <w:rFonts w:ascii="PT Serif" w:cs="PT Serif" w:eastAsia="PT Serif" w:hAnsi="PT Serif"/>
          <w:b/>
          <w:bCs/>
          <w:color w:val="1B1E23"/>
          <w:sz w:val="30"/>
          <w:szCs w:val="30"/>
        </w:rPr>
        <w:t xml:space="preserve">Три пути вперёд — ни один не решается за один вечер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Новые данные с более плотными повторными измерениями — позволили бы точно (не суррогатно) оценить надёжность метки на каждый воксель.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Surface-based обработка атласа через FreeSurfer — методологически более точный путь, требует внешних вычислительных ресурсов и данных с полным покрытием мозга.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PT Serif" w:cs="PT Serif" w:eastAsia="PT Serif" w:hAnsi="PT Serif"/>
          <w:color w:val="1B1E23"/>
          <w:sz w:val="21"/>
          <w:szCs w:val="21"/>
        </w:rPr>
        <w:t xml:space="preserve">Смена самой постановки задачи — например, публикация самого отрицательного результата как методической работы: честная, воспроизводимая проверка гипотезы на реальных данных — тоже вклад в науку.</w:t>
      </w:r>
    </w:p>
    <w:p>
      <w:pPr>
        <w:spacing w:after="100"/>
      </w:pPr>
    </w:p>
    <w:p>
      <w:pPr>
        <w:pBdr>
          <w:top w:val="single" w:color="DFDCD3" w:sz="4"/>
        </w:pBdr>
        <w:spacing w:before="180"/>
      </w:pPr>
      <w:r>
        <w:rPr>
          <w:rFonts w:ascii="PT Sans" w:cs="PT Sans" w:eastAsia="PT Sans" w:hAnsi="PT Sans"/>
          <w:color w:val="7B8290"/>
          <w:sz w:val="16"/>
          <w:szCs w:val="16"/>
        </w:rPr>
        <w:t xml:space="preserve">Полный технический отчёт (228 прогонов, все графики и таблицы) — «Отчёт по структурной классификации CMRO2.docx». Код и результаты каждого прогона — в репозитории, ветка patient-structural-classification.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d95eaad7f72b02a0fd97d820b0d252139a306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2026-09-22T08:45:34.003Z</dcterms:created>
  <dcterms:modified xsi:type="dcterms:W3CDTF">2026-09-22T08:45:34.004Z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