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PT Sans" w:cs="PT Sans" w:eastAsia="PT Sans" w:hAnsi="PT Sans"/>
          <w:b/>
          <w:bCs/>
          <w:color w:val="157A6E"/>
          <w:spacing w:val="15"/>
          <w:sz w:val="16"/>
          <w:szCs w:val="16"/>
        </w:rPr>
        <w:t xml:space="preserve">ВНУТРЕННЯЯ ИССЛЕДОВАТЕЛЬСКАЯ ЗАПИСКА · КОНВЕЙЕР СТРУКТУРНОЙ КЛАССИФИКАЦИИ</w:t>
      </w:r>
    </w:p>
    <w:p>
      <w:pPr>
        <w:spacing w:after="200"/>
      </w:pPr>
      <w:r>
        <w:rPr>
          <w:rFonts w:ascii="PT Serif" w:cs="PT Serif" w:eastAsia="PT Serif" w:hAnsi="PT Serif"/>
          <w:b/>
          <w:bCs/>
          <w:color w:val="1B1E23"/>
          <w:sz w:val="40"/>
          <w:szCs w:val="40"/>
        </w:rPr>
        <w:t xml:space="preserve">Предсказывает ли структура коры согласованность BOLD и CMRO₂ в вокселе?</w:t>
      </w:r>
    </w:p>
    <w:p>
      <w:pPr>
        <w:spacing w:after="260" w:line="300"/>
      </w:pPr>
      <w:r>
        <w:rPr>
          <w:rFonts w:ascii="PT Serif" w:cs="PT Serif" w:eastAsia="PT Serif" w:hAnsi="PT Serif"/>
          <w:color w:val="4A505C"/>
          <w:sz w:val="23"/>
          <w:szCs w:val="23"/>
        </w:rPr>
        <w:t xml:space="preserve">Полный отчёт по всем экспериментам, проведённым на калиброванном fMRI-датасете (Epp et al., two_modes_of_hemodynamics) — от проверки метки concordant/discordant по модели Дэвиса до 228 реальных обучений на пяти архитектурах (включая настоящий U-Net и предобученный на внешних данных 3D-backbone, а также их итоговый ансамбль), шести структурных/физиологических представлениях входа (включая проверенную по прямой гипотезе руководителя карту CBV), четырёх не-структурных признаках (ковариаты, регионализация, data-driven и настоящая Glasser-парцелляция), вокселном, региональном и популяционном уровне классификации, бинарной и 3-классовой постановке, суррогатной И настоящей Z-статистике для надёжности метки, независимой научной переоценке самого источника метки — и заканчивается методологической дисциплиной, которая продержалась на всех экспериментах, мотивированных литературой или прямой гипотезой, включая два, где её пришлось применить задним числом.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pct" w:w="20%"/>
            <w:tcBorders>
              <w:top w:val="single" w:color="DFDCD3" w:sz="4"/>
              <w:left w:val="single" w:color="DFDCD3" w:sz="4"/>
              <w:bottom w:val="single" w:color="DFDCD3" w:sz="4"/>
              <w:right w:val="single" w:color="DFDCD3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rFonts w:ascii="PT Mono" w:cs="PT Mono" w:eastAsia="PT Mono" w:hAnsi="PT Mono"/>
                <w:b/>
                <w:bCs/>
                <w:color w:val="1B1E23"/>
                <w:sz w:val="30"/>
                <w:szCs w:val="30"/>
              </w:rPr>
              <w:t xml:space="preserve">228</w:t>
            </w:r>
          </w:p>
          <w:p>
            <w:pPr>
              <w:spacing w:after="0" w:line="260"/>
            </w:pPr>
            <w:r>
              <w:rPr>
                <w:rFonts w:ascii="PT Sans" w:cs="PT Sans" w:eastAsia="PT Sans" w:hAnsi="PT Sans"/>
                <w:color w:val="7B8290"/>
                <w:sz w:val="15"/>
                <w:szCs w:val="15"/>
              </w:rPr>
              <w:t xml:space="preserve">реальных обучения на настоящих метках</w:t>
            </w:r>
          </w:p>
        </w:tc>
        <w:tc>
          <w:tcPr>
            <w:tcW w:type="pct" w:w="20%"/>
            <w:tcBorders>
              <w:top w:val="single" w:color="DFDCD3" w:sz="4"/>
              <w:left w:val="single" w:color="DFDCD3" w:sz="4"/>
              <w:bottom w:val="single" w:color="DFDCD3" w:sz="4"/>
              <w:right w:val="single" w:color="DFDCD3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rFonts w:ascii="PT Mono" w:cs="PT Mono" w:eastAsia="PT Mono" w:hAnsi="PT Mono"/>
                <w:b/>
                <w:bCs/>
                <w:color w:val="1B1E23"/>
                <w:sz w:val="30"/>
                <w:szCs w:val="30"/>
              </w:rPr>
              <w:t xml:space="preserve">39/40</w:t>
            </w:r>
          </w:p>
          <w:p>
            <w:pPr>
              <w:spacing w:after="0" w:line="260"/>
            </w:pPr>
            <w:r>
              <w:rPr>
                <w:rFonts w:ascii="PT Sans" w:cs="PT Sans" w:eastAsia="PT Sans" w:hAnsi="PT Sans"/>
                <w:color w:val="7B8290"/>
                <w:sz w:val="15"/>
                <w:szCs w:val="15"/>
              </w:rPr>
              <w:t xml:space="preserve">пациентов с рабочей разметкой</w:t>
            </w:r>
          </w:p>
        </w:tc>
        <w:tc>
          <w:tcPr>
            <w:tcW w:type="pct" w:w="20%"/>
            <w:tcBorders>
              <w:top w:val="single" w:color="DFDCD3" w:sz="4"/>
              <w:left w:val="single" w:color="DFDCD3" w:sz="4"/>
              <w:bottom w:val="single" w:color="DFDCD3" w:sz="4"/>
              <w:right w:val="single" w:color="DFDCD3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rFonts w:ascii="PT Mono" w:cs="PT Mono" w:eastAsia="PT Mono" w:hAnsi="PT Mono"/>
                <w:b/>
                <w:bCs/>
                <w:color w:val="1B1E23"/>
                <w:sz w:val="30"/>
                <w:szCs w:val="30"/>
              </w:rPr>
              <w:t xml:space="preserve">10</w:t>
            </w:r>
          </w:p>
          <w:p>
            <w:pPr>
              <w:spacing w:after="0" w:line="260"/>
            </w:pPr>
            <w:r>
              <w:rPr>
                <w:rFonts w:ascii="PT Sans" w:cs="PT Sans" w:eastAsia="PT Sans" w:hAnsi="PT Sans"/>
                <w:color w:val="7B8290"/>
                <w:sz w:val="15"/>
                <w:szCs w:val="15"/>
              </w:rPr>
              <w:t xml:space="preserve">конфигураций модель/вход</w:t>
            </w:r>
          </w:p>
        </w:tc>
        <w:tc>
          <w:tcPr>
            <w:tcW w:type="pct" w:w="20%"/>
            <w:tcBorders>
              <w:top w:val="single" w:color="DFDCD3" w:sz="4"/>
              <w:left w:val="single" w:color="DFDCD3" w:sz="4"/>
              <w:bottom w:val="single" w:color="DFDCD3" w:sz="4"/>
              <w:right w:val="single" w:color="DFDCD3" w:sz="4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rFonts w:ascii="PT Mono" w:cs="PT Mono" w:eastAsia="PT Mono" w:hAnsi="PT Mono"/>
                <w:b/>
                <w:bCs/>
                <w:color w:val="A6403A"/>
                <w:sz w:val="30"/>
                <w:szCs w:val="30"/>
              </w:rPr>
              <w:t xml:space="preserve">0.48–0.55</w:t>
            </w:r>
          </w:p>
          <w:p>
            <w:pPr>
              <w:spacing w:after="0" w:line="260"/>
            </w:pPr>
            <w:r>
              <w:rPr>
                <w:rFonts w:ascii="PT Sans" w:cs="PT Sans" w:eastAsia="PT Sans" w:hAnsi="PT Sans"/>
                <w:color w:val="7B8290"/>
                <w:sz w:val="15"/>
                <w:szCs w:val="15"/>
              </w:rPr>
              <w:t xml:space="preserve">диапазон точности (уровень случайности)</w:t>
            </w:r>
          </w:p>
        </w:tc>
      </w:tr>
    </w:tbl>
    <w:p>
      <w:pPr>
        <w:spacing w:after="3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01 · ОБЗОР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Резюме</w:t>
      </w:r>
    </w:p>
    <w:p>
      <w:pPr>
        <w:spacing w:after="160" w:line="300"/>
      </w:pPr>
      <w:r>
        <w:rPr>
          <w:rFonts w:ascii="PT Serif" w:cs="PT Serif" w:eastAsia="PT Serif" w:hAnsi="PT Serif"/>
          <w:color w:val="4A505C"/>
          <w:sz w:val="23"/>
          <w:szCs w:val="23"/>
        </w:rPr>
        <w:t xml:space="preserve">По всем испытанным архитектурам, представлениям входных данных, пространственным масштабам и постановкам задачи локальное структурное (и BOLD-) окружение вокселя не предсказывает его статус concordant/discordant по CMRO₂ выше уровня случайности.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Ориентир руководителя для «есть реальное, обучаемое структурное различие» — точность 0.65–0.70 на тесте. Ни один из испытанных вариантов не достиг этого уровня, и потолок не сдвинулся ни при одном из испытанных рычагов: больше пациентов (5 → 25 → 37 на полном охвате когорты), более содержательный BOLD-признак (сырой временной ряд → % изменения по условиям), больше пространственного контекста (патч 9³ → 15³ вокселей), внешние ковариаты (возраст/Hct/пол), не-структурные пространственные признаки (грубая сетка → data-driven k-means-парцелляция), четвёртая архитектура с принципиально другим индуктивным смещением (настоящий U-Net) с более долгим аугментированным обучением, backbone, предобученный на реальных внешних 3D-медицинских данных (MedicalNet ResNet50, 46.2М параметров), или цель, сохраняющая величину, а не только знак (классификация → регрессия на CMRO₂%change). Эта сходимость сама по себе и есть находка: похоже на подлинное отсутствие локального сигнала на испытанных масштабах, а не на недостаток модели, объёма предобучения или выборки.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9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5B3E96"/>
                <w:spacing w:val="15"/>
                <w:sz w:val="17"/>
                <w:szCs w:val="17"/>
              </w:rPr>
              <w:t xml:space="preserve">ЧТО ОСТАЁТСЯ ПОЛЕЗНЫМ НЕЗАВИСИМО ОТ РЕЗУЛЬТАТА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Проверенная реализация логики разметки (с одним найденным реальным багом в коде модели Дэвиса из исходного репозитория), рабочий способ восстановления производных данных через историю версий S3 (которых больше нет в текущем публичном листинге датасета), и протестированный конвейер обучения на объединённой когорте, куда любой новый признак или цель подключается одной функцией.</w:t>
            </w:r>
          </w:p>
        </w:tc>
      </w:tr>
    </w:tbl>
    <w:p>
      <w:pPr>
        <w:spacing w:after="2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02 · ОСНОВАНИЯ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Данные и происхождение разметки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Проверяемая метка — та, что описана в собственном коде анализа </w:t>
      </w:r>
      <w:r>
        <w:rPr>
          <w:rFonts w:ascii="PT Serif" w:cs="PT Serif" w:eastAsia="PT Serif" w:hAnsi="PT Serif"/>
          <w:i/>
          <w:iCs/>
          <w:color w:val="1B1E23"/>
          <w:sz w:val="22"/>
          <w:szCs w:val="22"/>
        </w:rPr>
        <w:t xml:space="preserve">two_modes_of_hemodynamics</w:t>
      </w:r>
      <w:r>
        <w:rPr>
          <w:rFonts w:ascii="PT Serif" w:cs="PT Serif" w:eastAsia="PT Serif" w:hAnsi="PT Serif"/>
          <w:color w:val="1B1E23"/>
          <w:sz w:val="22"/>
          <w:szCs w:val="22"/>
        </w:rPr>
        <w:t xml:space="preserve">: воксель </w:t>
      </w:r>
      <w:r>
        <w:rPr>
          <w:rFonts w:ascii="PT Serif" w:cs="PT Serif" w:eastAsia="PT Serif" w:hAnsi="PT Serif"/>
          <w:b/>
          <w:bCs/>
          <w:color w:val="1B1E23"/>
          <w:sz w:val="22"/>
          <w:szCs w:val="22"/>
        </w:rPr>
        <w:t xml:space="preserve">concordant</w:t>
      </w:r>
      <w:r>
        <w:rPr>
          <w:rFonts w:ascii="PT Serif" w:cs="PT Serif" w:eastAsia="PT Serif" w:hAnsi="PT Serif"/>
          <w:color w:val="1B1E23"/>
          <w:sz w:val="22"/>
          <w:szCs w:val="22"/>
        </w:rPr>
        <w:t xml:space="preserve">, если ΔBOLD и ΔCMRO₂ имеют одинаковый знак, </w:t>
      </w:r>
      <w:r>
        <w:rPr>
          <w:rFonts w:ascii="PT Serif" w:cs="PT Serif" w:eastAsia="PT Serif" w:hAnsi="PT Serif"/>
          <w:b/>
          <w:bCs/>
          <w:color w:val="1B1E23"/>
          <w:sz w:val="22"/>
          <w:szCs w:val="22"/>
        </w:rPr>
        <w:t xml:space="preserve">discordant</w:t>
      </w:r>
      <w:r>
        <w:rPr>
          <w:rFonts w:ascii="PT Serif" w:cs="PT Serif" w:eastAsia="PT Serif" w:hAnsi="PT Serif"/>
          <w:color w:val="1B1E23"/>
          <w:sz w:val="22"/>
          <w:szCs w:val="22"/>
        </w:rPr>
        <w:t xml:space="preserve"> — если противоположный: sign(CMRO2_percchange) × sign(BOLD_percchange), где CMRO₂ считается по принципу Фика (CBF × OEF × CaO₂), а не напрямую из модели Дэвиса.</w:t>
      </w:r>
    </w:p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Проверка разметки по модели Дэвиса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Алгебраически вывел уравнение калиброванного BOLD-сигнала Дэвиса и провёл round-trip проверку против собственных функций репозитория DavisCMRO2RelChange / DavisCBFRelChange. Заодно нашёл реальный баг: DavisBOLD() в исходном репозитории содержит лишний множитель −1, который ломает согласованность round-trip — но grep подтверждает, что эта функция нигде не вызывается в ноутбуках анализа, то есть баг не затрагивает ни один опубликованный результат, ни разметку этого проекта. Задокументировано и покрыто тестом, а не тихо исправлено.</w:t>
      </w:r>
    </w:p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Восстановление производных данных, которых нет в текущем листинге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Публичный листинг ds004873 содержит только сырые данные (T1w, 8-эхо MESE, один task-all_bold на пациента) — ни CMRO₂, ни BOLD_percchange, ни participants.tsv. Более ранние снэпшоты того же CC0-датасета содержали полную папку derivatives/; S3 хранит это прежнее содержимое под «delete marker», а не стирает его. Обход истории версий (scripts/list_versions.py) и загрузка по ?versionId= позволили восстановить настоящие CMRO₂, BOLD_percchange, T1w в пространстве разметки, маски мозга, participants.tsv (Hct/O2sat) и events.tsv (тайминг задачи) для когорты, использованной во всём отчёте.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1F2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157A6E"/>
                <w:spacing w:val="15"/>
                <w:sz w:val="17"/>
                <w:szCs w:val="17"/>
              </w:rPr>
              <w:t xml:space="preserve">НАЙДЕННАЯ И ИСПРАВЛЕННАЯ ПРОБЛЕМА ЦЕЛОСТНОСТИ ДАННЫХ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У 9 из 40 пациентов загрузка BOLD-файлов (~450–500 МБ) обрывалась на середине, а функция загрузки считала образовавшийся частичный файл «уже загруженным» при повторном запуске — это тихо испортило бы данные при повторе. Исправлено атомарной записью (временный файл, проверка размера, затем переименование) и повтором с задержкой; это вернуло эти 9 пациентов.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Охват когорты: 25 из 40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Причина исключения</w:t>
            </w:r>
          </w:p>
        </w:tc>
        <w:tc>
          <w:tcPr>
            <w:tcW w:type="dxa" w:w="140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Пациентов</w:t>
            </w:r>
          </w:p>
        </w:tc>
        <w:tc>
          <w:tcPr>
            <w:tcW w:type="dxa" w:w="37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Пояснение</w:t>
            </w:r>
          </w:p>
        </w:tc>
      </w:tr>
      <w:tr>
        <w:tc>
          <w:tcPr>
            <w:tcW w:type="dxa" w:w="42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Отмечены в participants.tsv</w:t>
            </w:r>
          </w:p>
        </w:tc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7</w:t>
            </w:r>
          </w:p>
        </w:tc>
        <w:tc>
          <w:tcPr>
            <w:tcW w:type="dxa" w:w="37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Поведенческие проблемы, контраст не дошёл до пациента, односторонние карты CBF/T2*, артефакты движения/восприимчивости</w:t>
            </w:r>
          </w:p>
        </w:tc>
      </w:tr>
      <w:tr>
        <w:tc>
          <w:tcPr>
            <w:tcW w:type="dxa" w:w="42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Отсутствует один файл</w:t>
            </w:r>
          </w:p>
        </w:tc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5</w:t>
            </w:r>
          </w:p>
        </w:tc>
        <w:tc>
          <w:tcPr>
            <w:tcW w:type="dxa" w:w="37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sub-p028/029/048/052/055 — один нужный файл отсутствует в истории версий, не ошибка загрузки</w:t>
            </w:r>
          </w:p>
        </w:tc>
      </w:tr>
      <w:tr>
        <w:tc>
          <w:tcPr>
            <w:tcW w:type="dxa" w:w="42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Другая схема именования</w:t>
            </w:r>
          </w:p>
        </w:tc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11</w:t>
            </w:r>
          </w:p>
        </w:tc>
        <w:tc>
          <w:tcPr>
            <w:tcW w:type="dxa" w:w="37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sub-p058–p068 используют T1w на весь объём головы (без предварительно вычлененного мозга) и именование CMRO₂ с CBV-коррекцией вместо desc-orig — более поздняя схема обработки, не адаптирована здесь</w:t>
            </w:r>
          </w:p>
        </w:tc>
      </w:tr>
      <w:tr>
        <w:tc>
          <w:tcPr>
            <w:tcW w:type="dxa" w:w="42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Использовано</w:t>
            </w:r>
          </w:p>
        </w:tc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25</w:t>
            </w:r>
          </w:p>
        </w:tc>
        <w:tc>
          <w:tcPr>
            <w:tcW w:type="dxa" w:w="37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Все результаты начиная с раздела 4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03 · ЭКСПЕРИМЕНТ 1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Только структура, 5 пациентов, 3 архитектуры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По плану руководителя: небольшая 3D CNN на патче 9³ вокселей (~18×18×30 мм) вокруг каждого размеченного вокселя, обучение на одном полушарии и тест на другом (с отступом, чтобы ни один патч не пересекал границу разбиения) — и затем наоборот. Если точность оставалась около случайной, по плану следовало усложнять архитектуру, не трогая остальное.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1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SimplePatchCNN, 5 пациентов × контрасты calc/mem × оба направления разбиения — каждый столбец в пределах нескольких пунктов от случайного уровня (пунктир), далеко от целевого диапазона 0.65–0.70.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Эскалация по плану: DeeperPatchCNN (остаточные блоки) и AttentionPatchCNN (свёрточный энкодер + self-attention трансформер над пространственными токенами патча — адаптация U-Net с трансформером вроде модели сегментации FCD, изначально упомянутой в проекте, но без декодера, который классификатору не нужен).</w:t>
      </w:r>
    </w:p>
    <w:p>
      <w:pPr>
        <w:spacing w:after="60" w:before="160"/>
        <w:jc w:val="center"/>
      </w:pPr>
      <w:r>
        <w:drawing>
          <wp:inline distT="0" distB="0" distL="0" distR="0">
            <wp:extent cx="447675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2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Обе более глубокие модели попадают в тот же диапазон 0.47–0.55, что и простая CNN — всего 60 обучений на трёх архитектурах.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E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A6403A"/>
                <w:spacing w:val="15"/>
                <w:sz w:val="17"/>
                <w:szCs w:val="17"/>
              </w:rPr>
              <w:t xml:space="preserve">ИНТЕРПРЕТАЦИЯ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Три архитектуры возрастающей ёмкости, сходящиеся к одной и той же случайной цифре, говорят не в пользу «нужна модель побольше», а в пользу «нет сигнала в сыром патче 9³ T1 для этой метки при n=5».</w:t>
            </w:r>
          </w:p>
        </w:tc>
      </w:tr>
    </w:tbl>
    <w:p>
      <w:pPr>
        <w:spacing w:after="2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04 · ЭКСПЕРИМЕНТ 2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Добавление обычного BOLD-сигнала задачи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По шагу 2 плана руководителя: вместе со структурным патчем подаём собственный временной ряд BOLD каждого вокселя (без контрастного вещества, без DSC) — filtered_func, полностью предобработанный вывод FSL FEAT (коррекция движения, сглаживание, temporal high-pass фильтр уже применены), с детрендингом и z-нормализацией по вокселю. PatchBOLDNet: тот же свёрточный ствол для патча, 1D-свёрточный ствол по 400-точечному ряду, конкатенация перед классификатором.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3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5 пациентов × 2 контраста × 2 направления разбиения с добавленной BOLD-ветвью — среднее 0.516 (SD 0.017), без изменений относительно только структуры.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Добавление настоящего измеренного ответа задачи не восстановило сигнал, который уже не нашли три структурные архитектуры.</w:t>
      </w:r>
    </w:p>
    <w:p>
      <w:pPr>
        <w:spacing w:after="12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05 · МАСШТАБИРОВАНИЕ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Вся когорта, BOLD по условиям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Обучение ещё 25 независимых одно-пациентных CNN не даёт содержательного увеличения данных для модели, обучаемой с нуля каждый раз. Вместо этого: объединяем воксели всех доступных пациентов и обучаем одну модель на «полушарие A всех пациентов» против «полушарие B всех пациентов» (и наоборот) — по-прежнему без утечки, теперь и между пациентами тоже.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Также заменили сырой временной ряд Эксперимента 2 на признаки BOLD по условиям: % изменения сигнала во время блоков calc / mem / rest (с поправкой на гемодинамическую задержку — первые ~4с каждого блока отброшены), из events.tsv. «Rest» используется как замена условию «control» из остальной части конвейера — в блочном дизайне нет отдельной метки control, так что это предположение, а не установленный факт.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4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25 пациентов, ~12 500 объединённых вокселей на полушарие на контраст. Только структура: 0.494–0.528; + BOLD по условиям: 0.499–0.533. Увеличение выборки в 5 раз ничего не сдвинуло.</w:t>
      </w:r>
    </w:p>
    <w:p>
      <w:pPr>
        <w:spacing w:after="12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06 · ЕЩЁ ДВА РЫЧАГА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Больший патч и регрессия на непрерывный CMRO₂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Два независимых изменения на той же когорте из 25 пациентов, запущенные вместе для прямой сравнимости: патч 15³ вокселей (~30×30×50 мм, масштаб «целой ROI», названный в плане руководителя как резервный вариант), и регрессия на непрерывное значение CMRO₂%change вместо бинаризации по знаку — строго более информативная цель, поскольку метка concordance отбрасывает величину изменения CMRO₂, сохраняя только совпадение направления с BOLD.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5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Слева: патчи 9³ и 15³, классификация — неотличимы. Справа: R² регрессии — на нуле или ниже нуля во всех условиях.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E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A6403A"/>
                <w:spacing w:val="15"/>
                <w:sz w:val="17"/>
                <w:szCs w:val="17"/>
              </w:rPr>
              <w:t xml:space="preserve">САМЫЙ ОДНОЗНАЧНЫЙ ОТРИЦАТЕЛЬНЫЙ РЕЗУЛЬТАТ ПРОЕКТА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R² ≤ 0 везде (от −0.037 до −0.0002) — это более сильное утверждение, чем «точность на уровне случайности». Модель с действительно нулевым сигналом, но некоторой способностью к переобучению, обычно давала бы R² около нуля на отложенном полушарии. Устойчиво отрицательный R² означает, что то немногое, что модель «выучивает» на обучающем полушарии, активно не обобщается на другое — во всех 8 конфигурациях.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06B · КОВАРИАТЫ, РЕГИОНАЛИЗАЦИЯ, ОРАКУЛЬНЫЙ КОНТРОЛЬ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Ковариаты, грубая регионализация и оракульный положительный контроль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Три отдельных признаковых представления, все на PatchBOLDConditionNet, все на той же 25-пациентной объединённой когорте (патч 9³):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Ковариаты — возраст, Hct и пол из participants.tsv, добавлены как дополнительный вектор рядом со структурным патчем. Hct входит напрямую в формулу CMRO₂ по Фику, так что это законная, не притянутая ковариата, а не просто «больше входов ради входов».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Грубая регионализация — T1 среднее/std по крупным блокам передне-задний × нижне-верхний, отдельно на каждой стороне разбиения полушарий, чтобы ни один блок не пересекал границу train/test. Больше пространственного контекста, чем патч, но явно не анатомически осмысленный регион — честно заявлено как суррогат, не как атлас.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Оракульный положительный контроль — модели напрямую подаются настоящие значения BOLD_percchange и CMRO2_percchange, которые и определяют метку. Это не научный результат, а проверка конвейера: если модель способна обучиться хоть чему-то, когда ответ буквально подан на вход, она должна показать высокую точность.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6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Ковариаты и грубая регионализация — 0.48–0.53, тот же случайный уровень. Оракульный контроль (после исправления бага нормализации, см. ниже) — 0.955–0.975, ясно и однозначно отделён от всех настоящих экспериментов.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E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A6403A"/>
                <w:spacing w:val="15"/>
                <w:sz w:val="17"/>
                <w:szCs w:val="17"/>
              </w:rPr>
              <w:t xml:space="preserve">НАЙДЕННЫЙ И ИСПРАВЛЕННЫЙ БАГ: НОРМАЛИЗАЦИЯ ПЕРЕВОРАЧИВАЛА ЗНАК МЕТКИ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Изначально oracle-признаки (BOLD_percchange и CMRO2%change) перед подачей в сеть z-нормализовались — вычиталось среднее и делилось на std. Но метка определена ровно как sign(BOLD) × sign(CMRO2%change), а среднее значение каждого признака у пациента почти никогда не равно нулю (от 2.8 до 27.4 на проверенных пациентах) — вычитание среднего сдвигает точку «нуля» и незаметно переворачивает метку для любого вокселя, чьё сырое значение попало между старой и новой точкой нуля. Проверено напрямую на 5 реальных пациентах: 18–44% меток переворачивались из-за одной только нормализации — это никак не связано со способностью модели учиться. Исправлено переходом на нормализацию только по масштабу (деление на std, без вычитания среднего), которая точно сохраняет знак — проверено: 0 переворотов на тех же 5 пациентах. Баг касался только oracle sanity-check; ни один из настоящих структурных/физиологических экспериментов этот признак не использовал.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9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5B3E96"/>
                <w:spacing w:val="15"/>
                <w:sz w:val="17"/>
                <w:szCs w:val="17"/>
              </w:rPr>
              <w:t xml:space="preserve">ПОЧЕМУ ОРАКУЛЬНЫЙ КОНТРОЛЬ — НЕ ЧИТЕРСТВО, А НЕОБХОДИМАЯ ПРОВЕРКА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Единственная цель этого прогона — убедиться, что весь конвейер обучения (не архитектура, не признаки, а именно код обучения/оценки) способен обнаружить сигнал, когда он точно есть. После исправления — 0.955–0.975 пооуленно на 25 пациентах, теперь согласуется с 0.956 на одном пациенте (а не занижено вдвое относительно него, как было до исправления) — чётко отделено от 0.48–0.53 всех настоящих экспериментов, причём с гораздо большим и понятным запасом, чем давала испорченная версия. Это подтверждает: потолок в 0.5 — свойство данных/признаков, а не потолок самого конвейера.</w:t>
            </w:r>
          </w:p>
        </w:tc>
      </w:tr>
    </w:tbl>
    <w:p>
      <w:pPr>
        <w:spacing w:after="2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06C · ЧЕТВЁРТАЯ АРХИТЕКТУРА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Настоящий U-Net и дообучение с аугментацией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Два запроса руководителя в одном прогоне: переобучить в лучших условиях (не 15 фиксированных эпох без аугментации) и попробовать настоящий U-Net, а не ещё один классификатор с пулингом.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PatchUNet (src/model.py) — настоящий энкодер-декодер со skip-connections, апсемплинг через F.interpolate (устойчив к нечётным размерам патча вроде 15, в отличие от транспонированной свёртки). В отличие от всех остальных архитектур здесь, которые сжимают патч в вектор признаков до предсказания, U-Net предсказывает плотную карту по всему патчу и берёт логит классификации из центрального вокселя выхода декодера — именно того места, к которому относится метка. ~354 тыс. параметров.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Аугментация (случайные 3D-отражения, безопасны здесь, так как модель не видит абсолютную позицию) и косинусный график learning rate — оба теперь опциональные флаги в существующем цикле обучения.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25 эпох (было 15), патч 15³, ограничение 3000 вокселей на сторону для вычислимости — PatchUNet стоит ~в 12 раз дороже простой CNN за шаг.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7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Все 4 архитектуры (включая U-Net) на дообучении с аугментацией: 0.499–0.548 — тот же случайный диапазон, лучшая эпоха по всему прогону не превышает 0.548.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E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A6403A"/>
                <w:spacing w:val="15"/>
                <w:sz w:val="17"/>
                <w:szCs w:val="17"/>
              </w:rPr>
              <w:t xml:space="preserve">ИНТЕРПРЕТАЦИЯ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Четыре архитектурно различные модели (две CNN с пулингом, трансформер-гибрид и теперь skip-connected U-Net с принципиально другим индуктивным смещением — плотная реконструкция вместо глобального пулинга) сходятся к одному и тому же числу даже после более длительного и аугментированного обучения. Это сужает пространство объяснений: маловероятно, что дело в конкретной архитектуре или в недообучении.</w:t>
            </w:r>
          </w:p>
        </w:tc>
      </w:tr>
    </w:tbl>
    <w:p>
      <w:pPr>
        <w:spacing w:after="2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06D · ПАРЦЕЛЛЯЦИЯ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Признаки на уровне данных-управляемой парцелляции (k-means)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Атлас Glasser/HCP-MMP остался недостижим (те же заблокированные хосты, локального FSL нет, поисковый инструмент GitHub в этой сессии ограничен одним подключённым репозиторием). Вместо фиксированной геометрической сетки — data-driven парцелляция: k-means (k=20) кластеризует собственные воксели мозга каждого пациента по (y, z, локальная интенсивность T1), отдельно на каждой стороне разбиения полушарий, так что ни один кластер не пересекает границу train/test. Границы кластеров следуют настоящей тканевой структуре этого конкретного пациента — стандартный подход для data-driven парцелляции при отсутствии группового атласа, но всё ещё не настоящий анатомический атлас (нет соответствия именованным регионам между пациентами) — заявлено как таковое, не выдано за большее.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Каждый размеченный воксель получает 3-признаковый дескриптор своего кластера (среднее T1, std T1, log-размер), поданный через PatchBOLDConditionNet.</w:t>
      </w:r>
    </w:p>
    <w:p>
      <w:pPr>
        <w:spacing w:after="60" w:before="16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8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25 пациентов, k=20 кластеров на сторону: 0.502–0.523 — снова случайный уровень, почти точно совпадает с версией на фиксированной сетке.</w:t>
      </w:r>
    </w:p>
    <w:p>
      <w:pPr>
        <w:spacing w:after="2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06E · ЗАВЕРШЕНИЕ КОГОРТЫ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Полный охват когорты: 39 из 40 пациентов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Разделы 3–7 выше используют 25-пациентную подкогорту — все прогоны до этого момента молча пропускали 11 пациентов (sub-p058…sub-p068), у которых другая схема именования производных файлов: T1w на весь объём головы вместо предварительно вычлененного мозга, BrMsk_CSF.nii вместо _30slices-варианта, desc-CBV_cmro2 вместо desc-orig_cmro2 для условия задачи (это не самодеятельность — то же смешение orig/CBV встречается в собственном combined_pipeline.py исходного репозитория). Новый загрузчик (src/subject_loader.py) пробует обе схемы именования по очереди и открыто фиксирует, какой запасной вариант использован для каждого пациента.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Итог: 39 из 40 пациентов дают хотя бы один рабочий контраст (только sub-p058 действительно не восстановим — у него нет condition-CMRO₂ ни в одной версии из истории S3, проверено напрямую по списку файлов, а не предположено). У всех 9 новых пациентов есть только контраст calc — у них никогда не было производных для mem ни в одной версии датасета, поэтому контраст mem остаётся на 25–30 пациентах.</w:t>
      </w:r>
    </w:p>
    <w:p>
      <w:pPr>
        <w:spacing w:after="60" w:before="160"/>
        <w:jc w:val="center"/>
      </w:pPr>
      <w:r>
        <w:drawing>
          <wp:inline distT="0" distB="0" distL="0" distR="0">
            <wp:extent cx="4381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9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Только структура (SimplePatchCNN, патч 9³) на полном охвате: calc — 37 пациентов, 18 500 вокселей/сторону (было 25 и 12 500); mem — 30 пациентов, 15 000 вокселей/сторону. 0.499–0.526 — тот же случайный уровень.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E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A6403A"/>
                <w:spacing w:val="15"/>
                <w:sz w:val="17"/>
                <w:szCs w:val="17"/>
              </w:rPr>
              <w:t xml:space="preserve">РОСТ КОГОРТЫ В 1.5 РАЗА ДЛЯ CALC НИЧЕГО НЕ СДВИНУЛ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37 пациентов вместо 25 (+48%), 18 500 объединённых вокселей на сторону вместо 12 500 — а точность (0.499–0.513) не отличима от версии на 25 пациентах (0.494–0.528). Это закрывает последний из «дешёвых» вопросов о размере выборки: увеличение реальных данных, доступных без новой инфраструктуры, не восстанавливает сигнал ни при каком из испытанных масштабов когорты (5 → 25 → 37 пациентов).</w:t>
            </w:r>
          </w:p>
        </w:tc>
      </w:tr>
    </w:tbl>
    <w:p>
      <w:pPr>
        <w:spacing w:after="2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06F · ПРЕДОБУЧЕННЫЙ BACKBONE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Предобученный MedicalNet ResNet50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Единственный архитектурный рычаг, ранее заявленный как заблокированный: 3D-МРТ backbone, предобученный на настоящих внешних данных, а не ещё одна архитектура с нуля на том же небольшом пуле. Официальные веса Tencent/MedicalNet лежат на Google Drive/Baidu Pan/Hugging Face/Zenodo — все эти хосты подтверждённо заблокированы политикой сети этой сессии (проверено напрямую: явный policy denial, а не «сайт недоступен»). Пользователь самостоятельно получил файл весов (`resnet_50_23dataset.pth`, Med3D, Chen et al. 2019, предобучен на корпусе из 23 датасетов 3D-сегментации, 46.2М параметров) и разместил его как GitHub release asset в собственном репозитории — этот хост сессии доступен.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1F2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157A6E"/>
                <w:spacing w:val="15"/>
                <w:sz w:val="17"/>
                <w:szCs w:val="17"/>
              </w:rPr>
              <w:t xml:space="preserve">ПРОВЕРЕНО ПЕРЕД ЗАГРУЗКОЙ, А НЕ ПРОСТО НА СЛОВО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Заголовок файла побайтово совпадает с документированным устаревшим форматом torch.save; статическое сканирование pickle-опкодов (pickletools.genops — только читает опкоды, ничего не выполняет) нашло исключительно ожидаемые вызовы torch/collections для восстановления тензоров, никаких подозрительных обращений; загрузка через безопасный по умолчанию режим torch.load (weights_only=True, ограниченный unpickler), не через небезопасный. Архитектура (src/medicalnet_resnet.py) воспроизведена по официальному коду и state_dict чекпоинта загружается с точным совпадением ключей (strict=True) — не «похожая», а буквально та же структура.</w:t>
            </w:r>
          </w:p>
        </w:tc>
      </w:tr>
    </w:tbl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Подход: заморожен ствол сети (только извлечение признаков — цель проверить, полезны ли уже выученные Med3D общие признаки 3D-медицинских изображений для этой метки, а не переобучать их заново; также единственный вычислительно посильный на CPU способ распорядиться 46М-параметрной моделью) + небольшая обучаемая MLP-голова на 2048-мерных признаках после глобального пулинга. Патч 25³ — у этого backbone понижение разрешения дилатацией, а не strided-свёрткой (~8×, не привычные 32×), поэтому патч 25 оставляет карту признаков 4×4×4 перед пулингом, а патчи 9/15 схлопнулись бы до 2×2×2. Прогон на полной доступной когорте.</w:t>
      </w:r>
    </w:p>
    <w:p>
      <w:pPr>
        <w:spacing w:after="60" w:before="160"/>
        <w:jc w:val="center"/>
      </w:pPr>
      <w:r>
        <w:drawing>
          <wp:inline distT="0" distB="0" distL="0" distR="0">
            <wp:extent cx="4381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10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calc — 37 пациентов, 11 100 вокселей/сторону; mem — 30 пациентов, 9 000 вокселей/сторону: 0.504–0.523 — снова случайный уровень, неотличимо от всех архитектур, обученных с нуля.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E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A6403A"/>
                <w:spacing w:val="15"/>
                <w:sz w:val="17"/>
                <w:szCs w:val="17"/>
              </w:rPr>
              <w:t xml:space="preserve">BACKBONE С ВНЕШНИМИ ДАННЫМИ НЕ ДАЁТ БОЛЬШЕ, ЧЕМ ОБУЧЕНИЕ С НУЛЯ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Это закрывает последнее из открытых архитектурных направлений: гипотезу «модели просто не хватало общего опыта на 3D-медицинских изображениях» — предобученная на 23 датасетах сеть, которая заведомо видела на порядки больше объёмных медицинских снимков, чем есть в этой задаче, не дала никакого преимущества перед моделью, обученной полностью с нуля. Потолок не в архитектуре и не в объёме предварительного опыта модели — он в том, что в структурном (и BOLD-) окружении вокселя для этой метки, судя по всему, просто нет сигнала на испытанных масштабах.</w:t>
            </w:r>
          </w:p>
        </w:tc>
      </w:tr>
    </w:tbl>
    <w:p>
      <w:pPr>
        <w:spacing w:after="2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06G · ФИЗИОЛОГИЧЕСКАЯ СТРУКТУРА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Базовые карты CBF/OEF: физиология, а не анатомия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T1-интенсивность отражает состав ткани (миелин, вода, макромолекулы) — она не кодирует напрямую те физиологические величины, которые механически определяют, движутся ли BOLD и CMRO₂ вместе или в противоположные стороны (базовая перфузия, базовая фракция экстракции кислорода). Эти величины оказались уже в самом датасете, просто не использованными: карты `sub-*_task-control_space-T2_cbf.nii` и `..._oef.nii` — те самые базовые CBF/OEF, из которых исходный конвейер вычислял CMRO₂ по принципу Фика (CMRO₂ = CBF × OEF × CaO₂). Восстановлены той же историей версий S3, что и всё остальное — никакого внешнего хоста.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1F2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157A6E"/>
                <w:spacing w:val="15"/>
                <w:sz w:val="17"/>
                <w:szCs w:val="17"/>
              </w:rPr>
              <w:t xml:space="preserve">ПРОВЕРКА НА НЕЦИКЛИЧНОСТЬ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Использованы только значения CBF/OEF в состоянии покоя (control), никогда — на задаче. Метка определена изменением между задачей и покоем, так что одно только базовое значение не входит в эту формулу алгебраически. Это законный физиологический признак, а не переформулировка ответа.</w:t>
            </w:r>
          </w:p>
        </w:tc>
      </w:tr>
    </w:tbl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scripts/run_cbf_oef.py извлекает 3-канальный патч (T1 + базовый CBF + базовый OEF, каждый нормализован независимо — их физические единицы и масштабы несравнимы) и обучает ту же SimplePatchCNN(in_channels=3), напрямую сравнивая с той же архитектурой на одних только T1-патчах — на идентичных вокселях.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11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T1-only: 0.510–0.528; T1+базовые CBF/OEF: 0.502–0.515 — диапазоны перекрываются, значимого отрыва нет, оба на уровне случайности. (Числа уточнены: CBF хранится в двух подпапках датасета с разными версиями, OEF — только в одной; теперь оба берутся из одной и той же папки для согласованности — вывод не изменился.)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E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A6403A"/>
                <w:spacing w:val="15"/>
                <w:sz w:val="17"/>
                <w:szCs w:val="17"/>
              </w:rPr>
              <w:t xml:space="preserve">ДАЖЕ ФИЗИОЛОГИЯ, ЛЕЖАЩАЯ В ОСНОВЕ САМОЙ МЕТКИ, НЕ ПОМОГАЕТ КАК ЛОКАЛЬНЫЙ СНИМОК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CBF и OEF — не ещё один взгляд на анатомию, это именно те величины, из которых состоит формула CMRO₂. То, что даже они не дают отрыва от случайного уровня, будучи поданы как статичный локальный патч вокруг вокселя, — сильный намёк, что дело не в «недостаточно правильной карте», а в масштабе: возможно, нужна не статика в покое, а динамика самого ответа на нагрузку, либо принадлежность вокселя к определённой анатомической области целиком, а не его локальное окружение.</w:t>
            </w:r>
          </w:p>
        </w:tc>
      </w:tr>
    </w:tbl>
    <w:p>
      <w:pPr>
        <w:spacing w:after="2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06H · НАСТОЯЩИЙ АТЛАС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Настоящий атлас Glasser/HCP-MMP1.0: последнее, что считалось заблокированным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Каждая предыдущая версия этого отчёта называла настоящий анатомический атлас по-настоящему заблокированным — не только внешне (Zenodo/Hugging Face/OSF/NITRC), но и подтверждённо отсутствующим в собственных derivatives этого датасета, в отличие от весов MedicalNet или карт CBF/OEF. Это оказалось верно именно для этого датасета — но не для самого атласа: HCP-MMP1.0 — статичный, нелицензируемый групповой лейбл-объём, и его копия в виде обычного файла лежит в GitHub-репозитории (github.com/mbedini/The-HCP-MMP1.0-atlas-in-FSL) — хост, уже доступный в этой сессии. Не понадобилось ни трюка с историей версий S3, ни файла от пользователя — просто другой вид поиска.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Перенести атлас в пространство каждого пациента всё равно требовало настоящей регистрации изображений (атлас задан в стандартном шаблонном пространстве, не в пространстве конкретного пациента). src/glasser_atlas.py прогоняет ANTsPy (PyPI, локальный FSL/FreeSurfer не нужен) — SyN-регистрацию против MNI152 T1-шаблона, встроенного в nilearn (тоже без сетевого запроса) — и переносит атлас в T2-пространство пациента с учитывающей категориальность меток интерполяцией, ~7 секунд на пациента.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1F2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157A6E"/>
                <w:spacing w:val="15"/>
                <w:sz w:val="17"/>
                <w:szCs w:val="17"/>
              </w:rPr>
              <w:t xml:space="preserve">ЧЕСТНЫЕ ОГОВОРКИ — СРАЗУ, А НЕ МЕЛКИМ ШРИФТОМ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(1) Автор атласа явно предупреждает, что HCP-MMP1.0 создан и провалидирован для поверхностной (surface-based) регистрации (FreeSurfer + Connectome Workbench), а использование через объёмную MNI-регистрацию — единственный вариант, доступный в этой изолированной сессии — вносит реальную неточность границ (со ссылкой на Coalson, Van Essen &amp; Glasser, 2018, PNAS). (2) сам атлас отображён на шаблон типа ICBM2009c, а здесь регистрация идёт на другой (хотя и близкий) вариант MNI152 — второй источник приближения. Это грубое объёмное приближение Glasser, а не методологически предпочтительная версия — заявлено именно так, как и k-means-парцелляция, и фиксированная сетка ранее.</w:t>
            </w:r>
          </w:p>
        </w:tc>
      </w:tr>
    </w:tbl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Проверено перед тем, как доверять, а не просто запущено один раз: на sub-p019 визуально подтвердил, что границы перенесённых парцелл следуют кортикальной ленте на T1 в нескольких срезах, и посчитал Dice(атлас&gt;0, маска мозга) = 0.64 — ожидаемо заметно меньше 1.0, поскольку Glasser размечает только кору, а не весь мозг (без белого вещества, подкорки, ликвора).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12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sub-p019: T1 (сверху) и та же плоскость с наложенными перенесёнными парцеллами Glasser (снизу) — границы областей следуют кортикальной ленте, полушария разделены по средней линии корректно.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Та же методология, что у k-means-парцелляции (scripts/run_glasser.py зеркалит run_parcellation.py): каждый размеченный воксель получает 3-признаковый дескриптор (среднее T1, std T1, log-размер) настоящей парцеллы Glasser, в которую он попал — посчитанный отдельно на каждой стороне разбиения полушарий, чтобы ничего не утекало через границу train/test — поданный через PatchBOLDConditionNet. 39 из 40 пациентов (18 500 calc / 15 000 mem объединённых вокселей на сторону).</w:t>
      </w:r>
    </w:p>
    <w:p>
      <w:pPr>
        <w:spacing w:after="60" w:before="16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13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0.510–0.523 — снова случайный уровень, близко к диапазону k-means-парцелляции (0.502–0.523). Настоящая, согласованная по группе анатомическая идентичность региона всё ещё не отделяется от случайности в этом конвейере.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E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A6403A"/>
                <w:spacing w:val="15"/>
                <w:sz w:val="17"/>
                <w:szCs w:val="17"/>
              </w:rPr>
              <w:t xml:space="preserve">ДАЖЕ ПОСЛЕДНИЙ СЧИТАВШИЙСЯ ЗАБЛОКИРОВАННЫМ ИНГРЕДИЕНТ НЕ МЕНЯЕТ КАРТИНУ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Из всех признаков, что теоретически могли бы объяснить, почему T1-патч не работает («это просто локальная интенсивность, а не осмысленная область»), настоящая анатомическая идентичность по Glasser была самым сильным кандидатом. Результат неотличим от data-driven k-means-версии. Это не доказывает, что более точная — поверхностная, а не объёмная — версия атласа тоже не сработала бы; но в пределах того, что реально проверяемо в этой сессии, ни один вид «структуры» — ни локальная T1, ни физиология CBF/OEF, ни грубая сетка, ни data-driven кластеры, ни теперь настоящий групповой атлас — не пробивает потолок 0.5.</w:t>
            </w:r>
          </w:p>
        </w:tc>
      </w:tr>
    </w:tbl>
    <w:p>
      <w:pPr>
        <w:spacing w:after="2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06I · ДИНАМИЧЕСКАЯ ФИЗИОЛОГИЯ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Динамические (на самой задаче) dCBF/dOEF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Оставшаяся открытой идея из раздела 06g: вместо базового значения в покое — dCBF = CBF_задача − CBF_покой, dOEF = OEF_задача − OEF_покой — сама реакция сосудов на нагрузку, та величина, которая (через принцип Фика) механически формирует CMRO₂%change, а не просто косвенно с ней связана, как в случае базового уровня.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1F2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157A6E"/>
                <w:spacing w:val="15"/>
                <w:sz w:val="17"/>
                <w:szCs w:val="17"/>
              </w:rPr>
              <w:t xml:space="preserve">БЛИЗОСТЬ К ФОРМУЛЕ МЕТКИ — РАСКРЫТА ЗАРАНЕЕ, НЕ ЗАДНИМ ЧИСЛОМ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CMRO₂%change = (CBF_задача×OEF_задача − CBF_покой×OEF_покой) / (CBF_покой×OEF_покой) × 100 (CaO₂ сокращается). dCBF и dOEF не алгебраически тождественны этому отношению — для его восстановления нужны ещё и абсолютные базовые значения, не только разности — но это именно те две физиологические величины, из которых оно строится, связанные с ним теснее, чем базовый (покойный) случай. Эксперимент явно помещён между легитимным базовым случаем и оракульным контролем на шкале цикличности — не выдан ни за то, ни за другое.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14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T1-only: 0.505–0.517; T1+динамические dCBF/dOEF: 0.520–0.532 — динамический канал стабильно (4 из 4 сравнений) чуть выше T1-only, но весь диапазон 0.520–0.532 остаётся внутри общей полосы шума проекта (0.48–0.55). Учитывая раскрытую выше частичную алгебраическую близость к метке, этот небольшой разрыв нельзя засчитывать как находку.</w:t>
      </w:r>
    </w:p>
    <w:p>
      <w:pPr>
        <w:spacing w:after="2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06J · НЕЗАВИСИМЫЙ КОНТЕКСТ ИЗ ЛИТЕРАТУРЫ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Независимая переоценка самого датасета: Büchel et al., 2026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Поиск по литературе дал нечто более информативное, чем ещё одна архитектура или признак. Классификация concordant/discordant Epp et al. (источник метки этого проекта; статья к настоящему моменту опубликована — Epp et al., «BOLD signal changes can oppose oxygen metabolism across the human cortex», Nature Neuroscience, 2025) с тех пор получила прямой научный вызов: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9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5B3E96"/>
                <w:spacing w:val="15"/>
                <w:sz w:val="17"/>
                <w:szCs w:val="17"/>
              </w:rPr>
              <w:t xml:space="preserve">BÜCHEL ET AL. (2026), ELIFE REVIEWED PREPRINT / BIORXIV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«Opposing BOLD signals and oxygen metabolism largely arise from statistical uncertainty in metabolic estimates». Ключевой количественный результат: с учётом статистической неопределённости оценок CMRO₂ 77.2% вокселей вообще не удалось надёжно классифицировать как concordant или discordant — эффект ΔCMRO₂ в них статистически неотличим от нуля. Там, где классификация была возможна, положительные BOLD-ответы преимущественно совпадали по знаку с метаболизмом, тогда как discordance концентрировался в отрицательных BOLD-ответах.</w:t>
            </w:r>
          </w:p>
        </w:tc>
      </w:tr>
    </w:tbl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Это не постфактум придуманное оправдание, а независимая, количественная, рецензируемая переоценка именно тех меток, которые этот проект пытался предсказать десятками прогонов. Если истинный, свободный от шума статус concordant/discordant надёжно определён лишь примерно для четверти вокселей — ни один предсказатель, каким бы удачным он ни был, не может систематически классифицировать метку на уровне отдельного вокселя в том виде, в каком она дана в этом датасете: значительная её часть может вообще не быть устойчивым свойством вокселя.</w:t>
      </w:r>
    </w:p>
    <w:p>
      <w:pPr>
        <w:spacing w:after="16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06K · ПРОВЕРКА НА СВОИХ ДАННЫХ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Фильтрация по надёжности метки: подтверждается ли объяснение Büchel et al. здесь?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Ограничил структурную базовую модель (SimplePatchCNN, патч 9 — самая часто используемая конфигурация проекта) вокселями, наименее вероятно управляемыми шумом, используя |CMRO₂%change| как признанный в литературе суррогат статистической надёжности (в этом датасете нет пер-вокселной карты SEM/неопределённости, чтобы воспроизвести точный тест Büchel et al. — но чем меньше изменение в процентах, тем легче шуму фиксированного масштаба развернуть его знак — та же статистическая логика, не те же числа). Сравнил все воксели / топ-50% / топ-25% по величине, те же пациенты и патчи, порог подобран только по обучающей стороне каждого разбиения, чтобы ничего от тестовых меток не утекало в порог.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15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Среднее по 4 комбинациям контраст×разбиение: все воксели — 0.507, топ-50% — 0.524, топ-25% — 0.513. Топ-50% выше «всех вокселей» в 4 из 4 случаев — на первый взгляд в сторону, которую предсказывает Büchel et al.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E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A6403A"/>
                <w:spacing w:val="15"/>
                <w:sz w:val="17"/>
                <w:szCs w:val="17"/>
              </w:rPr>
              <w:t xml:space="preserve">ИСПРАВЛЕНИЕ: ЭТО НЕ ПОДТВЕРЖДЕНИЕ — ПОЙМАНО ДО ПУБЛИКАЦИИ ВЫВОДОВ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Фильтрация по |CMRO₂%change| не просто убирает шумные воксели — она ещё и сдвигает баланс классов, поскольку concordant и discordant воксели распределены по величине неодинаково. Пересчитал тривиальный базовый уровень «всегда предсказывать более частый класс» на тех же тестовых наборах: все воксели — 0.511–0.533, топ-50% — 0.526–0.553, топ-25% — 0.528–0.575. Модель НЕ превосходит этот базовый уровень ни в одной из 12 комбинаций контраст×разбиение×тир — ни на нефильтрованных данных (согласуется со всем остальным проектом), ни на любом фильтрованном подмножестве. Кажущееся «улучшение» от фильтрации — это сдвиг баланса классов самим фильтром, а не то, что модель что-то выучила из более надёжного подмножества. Исправленный вывод: эта конкретная проверка не подтверждает объяснение Büchel et al. — честная поправка к более раннему черновику этого раздела, а не пересчёт с другими числами.</w:t>
            </w:r>
          </w:p>
        </w:tc>
      </w:tr>
    </w:tbl>
    <w:p>
      <w:pPr>
        <w:spacing w:after="2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06L · ПРЯМОЕ ПРОДОЛЖЕНИЕ НАХОДКИ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ROI-усреднение: самое прямое, дешёвое продолжение Büchel et al.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Если значительная часть нулевого результата — шум метки на уровне отдельного вокселя, самая прямая следующая проверка — не ещё одна архитектура или признак, а смена самой единицы классификации с вокселя на регион: усреднение по десяткам вокселей внутри настоящего анатомического региона механически гасит именно такой шум (та же статистическая логика, что делает групповой/ROI-анализ надёжнее одновокселного).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scripts/run_roi_averaged.py переиспользует уже зарегистрированные Glasser-парцеллы и, для каждого пациента/контраста/парцелла с ≥20 валидными вокселями: усредняет сырые CMRO₂_задача и CMRO₂_покой по региону, затем берёт ОДНО ROI-изменение в процентах (стандартный способ считать ROI-контраст — одно отношение двух усреднённых величин, а не среднее многих шумных повоксельных отношений), и отдельно усредняет BOLD_percchange. Классифицирует каждый регион по его структурному профилю (среднее T1, std T1, log-размер) через небольшую MLP (RegionMLP), а не 3D CNN — единица здесь регион, а не пространственный патч.</w:t>
      </w:r>
    </w:p>
    <w:p>
      <w:pPr>
        <w:spacing w:after="60" w:before="16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16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0.522–0.567 — самый высокий диапазон сырой точности среди всех структурных экспериментов проекта.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E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A6403A"/>
                <w:spacing w:val="15"/>
                <w:sz w:val="17"/>
                <w:szCs w:val="17"/>
              </w:rPr>
              <w:t xml:space="preserve">И СНОВА: НЕ НАХОДКА. ПРОВЕРКА БАЛАНСА КЛАССОВ ОБНУЛИЛА И ЭТОТ РЕЗУЛЬТАТ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Пересчитал тривиальный базовый уровень «всегда предсказывать более частый класс» отдельно для каждого из 4 разбиений: 0.5355, 0.5216, 0.5671, 0.5268 — совпадает с точностью модели до четвёртого знака после запятой, в каждом из 4 случаев. RegionMLP не выучила вообще ничего из структурного профиля региона — она просто всегда предсказывает более частый в обучающих данных класс, а региональная согласованность оказалась заметно несбалансированной по стороне полушария (в отличие от вокселного уровня, который весь проект держался близко к 50/50 по построению). «Самый высокий диапазон в проекте» было правдой для сырого числа и неправдой по сути — этот результат настолько же нулевой, как и все остальные, просто замаскированный дисбалансом классов. Оставлено в отчёте с поправкой, а не удалено — сама поправка и факт её публикации важны для честной картины.</w:t>
            </w:r>
          </w:p>
        </w:tc>
      </w:tr>
    </w:tbl>
    <w:p>
      <w:pPr>
        <w:spacing w:after="2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06M · ДВОЙНАЯ ПРОВЕРКА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Двойной фильтр: надёжность × positive-BOLD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Büchel et al. сделали не одну находку, а две: большинство вокселей нельзя классифицировать статистически надёжно, но там, где это возможно, положительные BOLD-ответы преимущественно совпадали по знаку с метаболизмом, тогда как discordance концентрировался в отрицательных BOLD-ответах. scripts/run_reliability_double_filter.py объединяет обе находки в один фильтр: positive_bold_top50pct оставляет только воксели с BOLD_percchange &gt; 0 И в топ-50% по величине |CMRO₂%change| одновременно, вместе с all/top50pct/positive_bold-only для сравнения — та же архитектура и протокол, что и в одиночном фильтре.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17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Двойной фильтр даёт самую высокую точность за весь проект — 0.624 и 0.627 в двух из четырёх комбинаций, впервые превысив 0.60.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E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A6403A"/>
                <w:spacing w:val="15"/>
                <w:sz w:val="17"/>
                <w:szCs w:val="17"/>
              </w:rPr>
              <w:t xml:space="preserve">ПРОВЕРЕНО СРАЗУ — И СНОВА НЕ ПРЕВОСХОДИТ БАЗОВЫЙ УРОВЕНЬ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Урок из двух поправок выше применён сразу, не после третьей ошибки: пересчитал базовый уровень «большинство» для каждого тира. Для двойного фильтра — 0.609–0.628, практически совпадает с точностью модели (0.536–0.627) и не уступает ей ни в одной из 4 комбинаций. Собственная находка Büchel et al. (positive BOLD сильно смещён к concordant) здесь подтверждается как реальное свойство датасета — рост базового уровня «большинство» с ~0.52 (все воксели) до ~0.62 (двойной фильтр) буквально и есть этот сдвиг, — но это факт о распределении самой метки, а не свидетельство, что модель считывает какой-либо структурный сигнал.</w:t>
            </w:r>
          </w:p>
        </w:tc>
      </w:tr>
    </w:tbl>
    <w:p>
      <w:pPr>
        <w:spacing w:after="2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06N · ЧЕСТНАЯ ПОСТАНОВКА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3-классовая постановка: concordant / discordant / unreliable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Вместо того чтобы молча принуждать каждый воксель к бинарному решению (неявно утверждая, что у каждого вокселя есть определённый знак) или молча выбрасывать ненадёжные (как в экспериментах с фильтрацией выше), scripts/run_three_class.py даёт модели явный третий класс — нижнюю половину обучающих вокселей каждого разбиения по |CMRO₂%change| — и просит различать concordant / discordant / unreliable напрямую (SimplePatchCNN с n_classes=3, CrossEntropyLoss).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18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3-классовая точность 0.467–0.509 — на первый взгляд выше наивного случайного уровня 1/3.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E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A6403A"/>
                <w:spacing w:val="15"/>
                <w:sz w:val="17"/>
                <w:szCs w:val="17"/>
              </w:rPr>
              <w:t xml:space="preserve">ПРАВИЛЬНЫЙ БАЗОВЫЙ УРОВЕНЬ — НЕ 1/3, А «ВСЕГДА UNRELIABLE» (~0.50)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Класс «unreliable» составляет по построению ровно нижнюю половину обучающих данных, и поскольку настоящие concordant/discordant воксели делятся в верхней половине примерно поровну, он занимает 49.2–50.7% каждого тестового набора — то есть правильный базовый уровень «всегда предсказывать unreliable» равен 0.492–0.507, что практически совпадает с 3-классовой точностью модели (0.467–0.509, ниже базового уровня в 3 из 4 случаев). Дополнительная строгая метрика — точность знака только на действительно надёжных тестовых вокселях — оказалась 0.010–0.119, далеко ниже 0.5: в тех редких случаях, когда модель всё же делала ставку на concordant/discordant вместо «unreliable», она ошибалась гораздо чаще, чем при подбрасывании монеты. Единственное реальное поведение модели здесь — смещение в сторону предсказания более частого класса; никаких признаков того, что она кодирует настоящее различие concordant/discordant, нет.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06P · ТРИ ПЕРЕСМОТРЕННЫХ ПУНКТА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Три пункта, ранее названных недостижимыми — пересмотрены по запросу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Прошлая версия отчёта назвала три вещи требующими ресурсов вне этой сессии: surface-based обработку атласа (FreeSurfer), настоящую (не суррогатную) оценку статистической надёжности на воксель, и групповой масштаб анализа. По запросу — действительно попробовал все три, а не повторил прежнюю оценку. Один пункт подтвердился как реально заблокированный, теперь с конкретными доказательствами. Два других оказались достижимы и были выполнены.</w:t>
      </w:r>
    </w:p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FreeSurfer — подтверждено заблокированным, не просто предположено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Проверено напрямую: у FreeSurfer нет пакета PyPI (pip index versions freesurfer не находит совпадений) — это лицензируемый бинарный дистрибутив, а не Python-библиотека, с хоста вне досягаемости этой сессии. Независимо от этого, T1-изображения этого датасета покрывают всего 99мм по оси нижне-верхний (30 срезов × 3.3мм) — меньше, чем нужно recon-all для реконструкции поверхности всего мозга, вне зависимости от доступности ПО. Две отдельные, конкретные причины, а не одно предположение за обе.</w:t>
      </w:r>
    </w:p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Настоящая (не суррогатная) оценка надёжности на воксель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Чтение собственных аналитических ноутбуков исходного конвейера (NeuroenergeticsLab/two_modes_of_hemodynamics, D_Fig2C_native_space_analysis.ipynb) обнаружило файл {sub}_1stlevel_{contrast}control_space-T2.nii.gz — настоящую Z-статистику первого уровня GLM для того же самого контраста задачи, что используется во всём проекте; сам конвейер порогует её на z=2.5 для определения своих собственных ROI активации. Это реальное статистическое свидетельство из исходного GLM, а не суррогат по величине |CMRO₂%change|.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1F2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157A6E"/>
                <w:spacing w:val="15"/>
                <w:sz w:val="17"/>
                <w:szCs w:val="17"/>
              </w:rPr>
              <w:t xml:space="preserve">ОБНАРУЖЕННАЯ И ИСПРАВЛЕННАЯ ОСОБЕННОСТЬ ДАННЫХ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Эта Z-карта имеет ненулевые значения только внутри собственной маски обработки — проверено напрямую: только ~9% обычных для этого проекта вокселей с валидной меткой её пересекают. Ранжирование по перцентилям на всей популяции (в основном нулевой) сначала дало порог 0 и не отфильтровало ничего — видно сразу по логу первого прогона (одинаковые размеры выборки и точность во всех тирах). Исправлено: сначала ограничился вокселями, покрытыми Z-картой, затем ранжировал по |z| внутри этой популяции.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19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Точность модели рядом с собственным базовым уровнем «большинство» для каждого тира. Модель превосходит базовый уровень лишь в 2 из 12 комбинаций — с разрывом 0.0002 и 0.0008, то есть в пределах шума.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Ограничение вокселями, которые сам GLM исходного конвейера считает статистически значимой активацией, поднимает и точность модели, и базовый уровень «большинство» вместе (0.55–0.63 — заметно выше обычной для проекта полосы 0.48–0.55) — покрытая z-картой подвыборка действительно смещена по классам, а не шумна. Но модель не превосходит собственный базовый уровень в 10 из 12 комбинаций, а 2 исключения — это margin в две десятых и восемь сотых процентного пункта, неотличимо от случайности при таком размере выборки. Настоящая, не суррогатная мера надёжности даёт тот же вывод, что и суррогатная: никакого структурного сигнала после корректного сравнения.</w:t>
      </w:r>
    </w:p>
    <w:p>
      <w:pPr>
        <w:spacing w:after="160"/>
      </w:pPr>
    </w:p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Групповой (межпациентный) анализ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Масштаб анализа, помеченный ещё в разделе о Büchel et al., но не испытанный: не «предсказывает ли этот воксель/регион свою собственную согласованность у этого пациента», а «коррелирует ли популяционная склонность настоящего анатомического региона к concordance с популяционным структурным профилем этого региона» — одна строка на (Glasser-парцелл, сторона полушария), не на воксель и не на пациента.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scripts/run_group_level.py переиспользует вычисление ROI-усреднения (сырые CMRO₂/BOLD усреднены внутри парцелла на пациента, одна ROI-метка на пациента на парцелл), затем для каждого парцелла с вкладом от ≥15 пациентов: берёт голосование большинства между пациентами как групповую метку парцелла, и популяционное среднее регионального T1-профиля каждого пациента как групповой признак. 362 парцелла прошли отбор, большинство — с данными от 30–37 из ~37–39 пригодных пациентов на контраст. Классификация через RegionMLP, разбиение по стороне полушария — и, учтя урок из собственной более ранней ошибки в ROI-усреднении, проверка базового уровня «большинство» встроена с самого первого прогона, а не добавлена после многообещающего числа.</w:t>
      </w:r>
    </w:p>
    <w:p>
      <w:pPr>
        <w:spacing w:after="60" w:before="160"/>
        <w:jc w:val="center"/>
      </w:pPr>
      <w:r>
        <w:drawing>
          <wp:inline distT="0" distB="0" distL="0" distR="0">
            <wp:extent cx="4381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20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Точность модели в точности равна базовому уровню «большинство» во всех 4 из 4 комбинаций (совпадение до полной точности с плавающей запятой).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E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A6403A"/>
                <w:spacing w:val="15"/>
                <w:sz w:val="17"/>
                <w:szCs w:val="17"/>
              </w:rPr>
              <w:t xml:space="preserve">САМЫЙ ЧИСТЫЙ НУЛЕВОЙ РЕЗУЛЬТАТ ПРОЕКТА — НЕ ИСПРАВЛЕННЫЙ, А ИЗНАЧАЛЬНО КОРРЕКТНЫЙ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RegionMLP не выучила вообще ничего из популяционно-усреднённого структурного профиля — групповая согласованность реальна и заметно смещена (59–67% concordant в зависимости от контраста — само по себе легитимная, хоть и неудивительная, описательная находка: большинство корковых регионов склоняются к concordant по всей популяции), но никакой структурной корреляты того, КАКИЕ именно регионы склоняются в какую сторону, не найдено. Это самый чистый нулевой результат проекта — не задним числом исправленное завышение, а изначально корректно рассчитанный результат с первого прогона.</w:t>
            </w:r>
          </w:p>
        </w:tc>
      </w:tr>
    </w:tbl>
    <w:p>
      <w:pPr>
        <w:spacing w:after="2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06O · МЕТОДОЛОГИЧЕСКОЕ ПРИМЕЧАНИЕ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Урок, который применим ко всем семи разделам выше</w:t>
      </w:r>
    </w:p>
    <w:p>
      <w:pPr>
        <w:spacing w:after="160" w:line="300"/>
      </w:pPr>
      <w:r>
        <w:rPr>
          <w:rFonts w:ascii="PT Serif" w:cs="PT Serif" w:eastAsia="PT Serif" w:hAnsi="PT Serif"/>
          <w:color w:val="4A505C"/>
          <w:sz w:val="22"/>
          <w:szCs w:val="22"/>
        </w:rPr>
        <w:t xml:space="preserve">Каждый из семи мотивированных находкой Büchel et al. или пересмотренных экспериментов (фильтрация по надёжности, ROI-усреднение, двойной фильтр, 3-классовая постановка, настоящая Z-статистика, групповой анализ) был проверен против собственного тривиального базового уровня «большинство» для каждого тира/разбиения — не только против 0.5 или 1/3. Два из них (фильтрация по надёжности, двойной фильтр) были СНАЧАЛА описаны с более благоприятным выводом и исправлены на месте после этой проверки; поправка оставлена видимой, а не тихо отредактирована — включая тот факт, что самая высокая сырая точность за весь проект (0.627, двойной фильтр) оказалась неотличима от «всегда угадывай concordant». Остальные три (настоящая Z-статистика, групповой анализ, отчасти 3-классовая постановка) уже включали эту проверку с самого начала. Прямой урок для читателя этого отчёта: сырая точность — не доказательство сама по себе, если фильтр или смена постановки может сдвинуть баланс классов метки. Эта часть отчёта — то, что происходит, когда эта проверка реально выполняется для каждого результата, а не пропускается, потому что число выглядело хорошо.</w:t>
      </w:r>
    </w:p>
    <w:p>
      <w:pPr>
        <w:spacing w:after="120"/>
      </w:pPr>
    </w:p>
    <w:p>
      <w:r>
        <w:br w:type="page"/>
      </w: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06Q · АНСАМБЛЬ АРХИТЕКТУР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4-архитектурный ансамбль — последний легитимный рычаг, испытан и закрыт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Не новый перебор конфигураций, а однократное, принципиальное объединение архитектур, уже независимо признанных нулевыми на всём протяжении проекта (SimplePatchCNN, DeeperPatchCNN, AttentionPatchCNN, PatchUNet) — мягкое голосование (усреднение вероятностей) на том же самом leakage-safe разбиении по полушариям, только структура, T1, патч 9. Если четыре независимо нулевые архитектуры делают некоррелированные ошибки, усреднение могло бы в принципе восстановить слабый общий сигнал, которого ни одна из них по отдельности не превосходит собственный базовый уровень «большинство» — проверено и указано с самого начала, та же дисциплина, что и во всех экспериментах после поправки по ROI-усреднению.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21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Ансамбль (сплошные столбцы) против собственного базового уровня «большинство» (штрихованные) — ни разу не превосходит его.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E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A6403A"/>
                <w:spacing w:val="15"/>
                <w:sz w:val="17"/>
                <w:szCs w:val="17"/>
              </w:rPr>
              <w:t xml:space="preserve">РЕЗУЛЬТАТ: АНСАМБЛЬ НЕ ПРЕВОСХОДИТ БАЗОВЫЙ УРОВЕНЬ «БОЛЬШИНСТВО» НИ В ОДНОЙ ИЗ 4 КОМБИНАЦИЙ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calc A→B: 0.513 против 0.521; calc B→A: 0.517 против 0.522; mem A→B: 0.490 против 0.529; mem B→A: 0.502 против 0.504. Ни одна из 16 отдельных комбинаций архитектура×разбиение тоже не превосходит свой базовый уровень. Это закрывает последний открытый вопрос после поправки на дисбаланс классов: не «а вдруг ещё одна архитектура поможет», а прямая, однократная проверка именно этого вопроса — с чистым отрицательным ответом.</w:t>
            </w:r>
          </w:p>
        </w:tc>
      </w:tr>
    </w:tbl>
    <w:p>
      <w:pPr>
        <w:spacing w:after="2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06R · ГИПОТЕЗА СОСУДИСТОЙ МОРФОЛОГИИ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Базовый CBV: прямая проверка гипотезы руководителя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Поднято руководителем (Алексей Осадчи) после результата ансамбля выше: может ли структурный контраст T1/T2 нести информацию о плотности/морфологии капилляров, которая, в свою очередь, определяет локальные свойства снабжения кислородом близлежащих нейронов — через субвоксельные эффекты, которых сама интенсивность не показывает напрямую, но которые всё же могут статистически проявляться? Отдельные капилляры на два-три порядка меньше размера вокселя этого датасета, поэтому напрямую они неразличимы. Но предложенный физический механизм реален и хорошо установлен, если сформулировать его точно: не «алиасинг» (который требовал бы сохраняющего информацию наложения периодической структуры), а усреднение по частичному объёму (partial-volume averaging) — наблюдаемая релаксация T1/T2/T2* вокселя является взвешенным средним по его кровяному и тканевому компартментам, и релаксационные свойства крови достаточно отличаются от окружающей ткани, чтобы локальная объёмная доля крови измеримо сдвигала это среднее (тот же физический принцип, на котором построена сама DSC/BOLD-визуализация). Поэтому реальная, хоть и косвенная и частично теряющая информацию, структурная сигнатура локальной сосудистой плотности физически правдоподобна, даже если сама капиллярная сеть на этом разрешении невидима.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Из уже восстановленных в этом проекте карт CBV (объём мозгового кровотока) — более прямой макроскопический прокси для этой гипотезы, чем CBF (поток) или интенсивность T1 сама по себе — не был испытан до сих пор. Та же логика отсутствия цикличности и тот же leakage-safe протокол, что и в эксперименте с CBF/OEF выше: используется только CBV *контрольного* (базового) условия, никогда не условия задачи, так что признак физиологически предшествует определению метки, а не переформулирует её.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Рис. 22  </w:t>
      </w:r>
      <w:r>
        <w:rPr>
          <w:rFonts w:ascii="PT Serif" w:cs="PT Serif" w:eastAsia="PT Serif" w:hAnsi="PT Serif"/>
          <w:i/>
          <w:iCs/>
          <w:color w:val="7B8290"/>
          <w:sz w:val="18"/>
          <w:szCs w:val="18"/>
        </w:rPr>
        <w:t xml:space="preserve">T1-only, T1+CBV и собственный базовый уровень «большинство» — T1+CBV не превосходит базовый уровень ни в одной из 4 комбинаций.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E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A6403A"/>
                <w:spacing w:val="15"/>
                <w:sz w:val="17"/>
                <w:szCs w:val="17"/>
              </w:rPr>
              <w:t xml:space="preserve">РЕЗУЛЬТАТ: ФИЗИЧЕСКИ ОБОСНОВАННАЯ ГИПОТЕЗА, НЕ ПОДТВЕРДИВШАЯСЯ НА ЭТИХ ДАННЫХ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calc A→B: 0.511 против базы 0.516; calc B→A: 0.509 против 0.513; mem A→B: 0.524 против 0.534; mem B→A: 0.506 против 0.508. T1-only лежит в том же диапазоне 0.498–0.519. Добавление базового CBV сдвигает точность максимум на ~1–2 процентных пункта в любую сторону, всегда оставаясь ниже собственного базового уровня разбиения — та же картина, что и у любого другого физиологического или структурного признака в этом проекте. Гипотеза сосудистой морфологии физически состоятельна и стоит того, чтобы быть явно зафиксированной в отчёте как реальный, проверяемый механизм — но базовая карта CBV этого датасета, на этом разрешении и с этой меткой, не несёт обнаружимого следа этой гипотезы. Это была прямая проверка одной конкретной, предложенной руководителем гипотезы, а не новый перебор конфигураций — поэтому она не возобновляет опасение множественных сравнений, закрывшее более широкий перебор после ансамбля.</w:t>
            </w:r>
          </w:p>
        </w:tc>
      </w:tr>
    </w:tbl>
    <w:p>
      <w:pPr>
        <w:spacing w:after="20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07 · СПРАВОЧНО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Полный реестр результатов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Все числа классификации и регрессии, стоящие за графиками выше.</w:t>
      </w:r>
    </w:p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Эксперимент 1 — только структура, 5 пациентов (SimplePatchCNN)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120"/>
        <w:gridCol w:w="1560"/>
      </w:tblGrid>
      <w:tr>
        <w:trPr>
          <w:tblHeader/>
        </w:trPr>
        <w:tc>
          <w:tcPr>
            <w:tcW w:type="dxa" w:w="468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312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Разбиение</w:t>
            </w:r>
          </w:p>
        </w:tc>
        <w:tc>
          <w:tcPr>
            <w:tcW w:type="dxa" w:w="15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Точность</w:t>
            </w:r>
          </w:p>
        </w:tc>
      </w:tr>
      <w:tr>
        <w:tc>
          <w:tcPr>
            <w:tcW w:type="dxa" w:w="4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31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0.532</w:t>
            </w:r>
          </w:p>
        </w:tc>
      </w:tr>
      <w:tr>
        <w:tc>
          <w:tcPr>
            <w:tcW w:type="dxa" w:w="4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31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0.502</w:t>
            </w:r>
          </w:p>
        </w:tc>
      </w:tr>
      <w:tr>
        <w:tc>
          <w:tcPr>
            <w:tcW w:type="dxa" w:w="4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31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0.498</w:t>
            </w:r>
          </w:p>
        </w:tc>
      </w:tr>
      <w:tr>
        <w:tc>
          <w:tcPr>
            <w:tcW w:type="dxa" w:w="4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31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0.511</w:t>
            </w:r>
          </w:p>
        </w:tc>
      </w:tr>
    </w:tbl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Эксперимент 1 — более глубокие архитектуры (среднее по обоим направлениям)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Пациент</w:t>
            </w:r>
          </w:p>
        </w:tc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DeeperPatchCNN</w:t>
            </w:r>
          </w:p>
        </w:tc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AttentionPatchCNN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sub-p019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0.531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0.517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sub-p020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0.507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0.494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sub-p021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0.505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0.523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sub-p023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0.495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0.495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sub-p026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0.513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0.508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sub-p019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0.505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0.512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sub-p020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0.532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0.510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sub-p021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0.509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0.496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sub-p023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0.515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0.499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sub-p026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0.516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0.508</w:t>
            </w:r>
          </w:p>
        </w:tc>
      </w:tr>
    </w:tbl>
    <w:p>
      <w:pPr>
        <w:spacing w:after="220" w:line="300"/>
      </w:pPr>
      <w:r>
        <w:rPr>
          <w:rFonts w:ascii="PT Serif" w:cs="PT Serif" w:eastAsia="PT Serif" w:hAnsi="PT Serif"/>
          <w:color w:val="7B8290"/>
          <w:sz w:val="18"/>
          <w:szCs w:val="18"/>
        </w:rPr>
        <w:t xml:space="preserve">Среднее по всем 20 прогонам: DeeperPatchCNN 0.513 (SD 0.020), AttentionPatchCNN 0.506 (SD 0.013).</w:t>
      </w:r>
    </w:p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Эксперимент 2 — структура + сырой BOLD (PatchBOLDNet)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rPr>
          <w:tblHeader/>
        </w:trPr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Пациент</w:t>
            </w:r>
          </w:p>
        </w:tc>
        <w:tc>
          <w:tcPr>
            <w:tcW w:type="dxa" w:w="1755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calc A→B</w:t>
            </w:r>
          </w:p>
        </w:tc>
        <w:tc>
          <w:tcPr>
            <w:tcW w:type="dxa" w:w="1755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calc B→A</w:t>
            </w:r>
          </w:p>
        </w:tc>
        <w:tc>
          <w:tcPr>
            <w:tcW w:type="dxa" w:w="1755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mem A→B</w:t>
            </w:r>
          </w:p>
        </w:tc>
        <w:tc>
          <w:tcPr>
            <w:tcW w:type="dxa" w:w="1755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mem B→A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sub-p019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0.505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0.524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0.508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0.505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sub-p020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0.503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0.483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0.524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0.515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sub-p021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0.522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0.517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0.525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0.506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sub-p023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0.507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0.568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0.500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0.513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sub-p026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0.532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0.533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0.513</w:t>
            </w:r>
          </w:p>
        </w:tc>
        <w:tc>
          <w:tcPr>
            <w:tcW w:type="dxa" w:w="175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0.513</w:t>
            </w:r>
          </w:p>
        </w:tc>
      </w:tr>
    </w:tbl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Объединённая когорта, 25 пациентов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Разбиение</w:t>
            </w:r>
          </w:p>
        </w:tc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Только структура</w:t>
            </w:r>
          </w:p>
        </w:tc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+ BOLD по условиям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0.528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0.530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0.503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0.532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0.494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0.530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0.510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0.515</w:t>
            </w:r>
          </w:p>
        </w:tc>
      </w:tr>
    </w:tbl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Больший патч и регрессия, 25 пациентов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200"/>
        <w:gridCol w:w="1680"/>
        <w:gridCol w:w="1680"/>
        <w:gridCol w:w="1680"/>
      </w:tblGrid>
      <w:tr>
        <w:trPr>
          <w:tblHeader/>
        </w:trPr>
        <w:tc>
          <w:tcPr>
            <w:tcW w:type="dxa" w:w="15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15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Разб.</w:t>
            </w:r>
          </w:p>
        </w:tc>
        <w:tc>
          <w:tcPr>
            <w:tcW w:type="dxa" w:w="120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Патч</w:t>
            </w:r>
          </w:p>
        </w:tc>
        <w:tc>
          <w:tcPr>
            <w:tcW w:type="dxa" w:w="168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Точн. классиф.</w:t>
            </w:r>
          </w:p>
        </w:tc>
        <w:tc>
          <w:tcPr>
            <w:tcW w:type="dxa" w:w="168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R² регрессии</w:t>
            </w:r>
          </w:p>
        </w:tc>
        <w:tc>
          <w:tcPr>
            <w:tcW w:type="dxa" w:w="168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Корр.</w:t>
            </w:r>
          </w:p>
        </w:tc>
      </w:tr>
      <w:tr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2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9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0.525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−0.002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−0.007</w:t>
            </w:r>
          </w:p>
        </w:tc>
      </w:tr>
      <w:tr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2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0.517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−0.001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−0.013</w:t>
            </w:r>
          </w:p>
        </w:tc>
      </w:tr>
      <w:tr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2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9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0.522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−0.002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−0.002</w:t>
            </w:r>
          </w:p>
        </w:tc>
      </w:tr>
      <w:tr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2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0.521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−0.000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0.002</w:t>
            </w:r>
          </w:p>
        </w:tc>
      </w:tr>
      <w:tr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2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9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0.535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−0.037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−0.020</w:t>
            </w:r>
          </w:p>
        </w:tc>
      </w:tr>
      <w:tr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2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0.533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−0.032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−0.004</w:t>
            </w:r>
          </w:p>
        </w:tc>
      </w:tr>
      <w:tr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2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9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0.506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−0.001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0.005</w:t>
            </w:r>
          </w:p>
        </w:tc>
      </w:tr>
      <w:tr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2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0.503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−0.000</w:t>
            </w:r>
          </w:p>
        </w:tc>
        <w:tc>
          <w:tcPr>
            <w:tcW w:type="dxa" w:w="1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0.002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Ковариаты / грубая регионализация / оракульный контроль, 25 пациентов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575"/>
        <w:gridCol w:w="1575"/>
        <w:gridCol w:w="1575"/>
        <w:gridCol w:w="1575"/>
      </w:tblGrid>
      <w:tr>
        <w:trPr>
          <w:tblHeader/>
        </w:trPr>
        <w:tc>
          <w:tcPr>
            <w:tcW w:type="dxa" w:w="30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Вариант</w:t>
            </w:r>
          </w:p>
        </w:tc>
        <w:tc>
          <w:tcPr>
            <w:tcW w:type="dxa" w:w="1575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calc A→B</w:t>
            </w:r>
          </w:p>
        </w:tc>
        <w:tc>
          <w:tcPr>
            <w:tcW w:type="dxa" w:w="1575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calc B→A</w:t>
            </w:r>
          </w:p>
        </w:tc>
        <w:tc>
          <w:tcPr>
            <w:tcW w:type="dxa" w:w="1575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mem A→B</w:t>
            </w:r>
          </w:p>
        </w:tc>
        <w:tc>
          <w:tcPr>
            <w:tcW w:type="dxa" w:w="1575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mem B→A</w:t>
            </w:r>
          </w:p>
        </w:tc>
      </w:tr>
      <w:tr>
        <w:tc>
          <w:tcPr>
            <w:tcW w:type="dxa" w:w="30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Ковариаты (возраст/Hct/пол)</w:t>
            </w:r>
          </w:p>
        </w:tc>
        <w:tc>
          <w:tcPr>
            <w:tcW w:type="dxa" w:w="157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0.514</w:t>
            </w:r>
          </w:p>
        </w:tc>
        <w:tc>
          <w:tcPr>
            <w:tcW w:type="dxa" w:w="157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0.520</w:t>
            </w:r>
          </w:p>
        </w:tc>
        <w:tc>
          <w:tcPr>
            <w:tcW w:type="dxa" w:w="157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0.480</w:t>
            </w:r>
          </w:p>
        </w:tc>
        <w:tc>
          <w:tcPr>
            <w:tcW w:type="dxa" w:w="157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0.512</w:t>
            </w:r>
          </w:p>
        </w:tc>
      </w:tr>
      <w:tr>
        <w:tc>
          <w:tcPr>
            <w:tcW w:type="dxa" w:w="30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Грубая регионализация</w:t>
            </w:r>
          </w:p>
        </w:tc>
        <w:tc>
          <w:tcPr>
            <w:tcW w:type="dxa" w:w="157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0.531</w:t>
            </w:r>
          </w:p>
        </w:tc>
        <w:tc>
          <w:tcPr>
            <w:tcW w:type="dxa" w:w="157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0.515</w:t>
            </w:r>
          </w:p>
        </w:tc>
        <w:tc>
          <w:tcPr>
            <w:tcW w:type="dxa" w:w="157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0.497</w:t>
            </w:r>
          </w:p>
        </w:tc>
        <w:tc>
          <w:tcPr>
            <w:tcW w:type="dxa" w:w="157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0.507</w:t>
            </w:r>
          </w:p>
        </w:tc>
      </w:tr>
      <w:tr>
        <w:tc>
          <w:tcPr>
            <w:tcW w:type="dxa" w:w="30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Оракульный контроль</w:t>
            </w:r>
          </w:p>
        </w:tc>
        <w:tc>
          <w:tcPr>
            <w:tcW w:type="dxa" w:w="157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0.955</w:t>
            </w:r>
          </w:p>
        </w:tc>
        <w:tc>
          <w:tcPr>
            <w:tcW w:type="dxa" w:w="157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0.975</w:t>
            </w:r>
          </w:p>
        </w:tc>
        <w:tc>
          <w:tcPr>
            <w:tcW w:type="dxa" w:w="157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0.971</w:t>
            </w:r>
          </w:p>
        </w:tc>
        <w:tc>
          <w:tcPr>
            <w:tcW w:type="dxa" w:w="1575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0.959</w:t>
            </w:r>
          </w:p>
        </w:tc>
      </w:tr>
    </w:tbl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U-Net и дообучение (аугментация + косинусный LR + 25 эпох, патч 15), 25 пациентов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15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Разбиение</w:t>
            </w:r>
          </w:p>
        </w:tc>
        <w:tc>
          <w:tcPr>
            <w:tcW w:type="dxa" w:w="15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Simple</w:t>
            </w:r>
          </w:p>
        </w:tc>
        <w:tc>
          <w:tcPr>
            <w:tcW w:type="dxa" w:w="15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Deeper</w:t>
            </w:r>
          </w:p>
        </w:tc>
        <w:tc>
          <w:tcPr>
            <w:tcW w:type="dxa" w:w="15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Attention</w:t>
            </w:r>
          </w:p>
        </w:tc>
        <w:tc>
          <w:tcPr>
            <w:tcW w:type="dxa" w:w="15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PatchUNet</w:t>
            </w:r>
          </w:p>
        </w:tc>
      </w:tr>
      <w:tr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0.522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0.521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0.522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0.499</w:t>
            </w:r>
          </w:p>
        </w:tc>
      </w:tr>
      <w:tr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0.529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0.528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0.520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0.520</w:t>
            </w:r>
          </w:p>
        </w:tc>
      </w:tr>
      <w:tr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0.538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0.535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0.536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0.536</w:t>
            </w:r>
          </w:p>
        </w:tc>
      </w:tr>
      <w:tr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0.522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0.521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0.522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0.512</w:t>
            </w:r>
          </w:p>
        </w:tc>
      </w:tr>
    </w:tbl>
    <w:p>
      <w:pPr>
        <w:spacing w:after="220" w:line="300"/>
      </w:pPr>
      <w:r>
        <w:rPr>
          <w:rFonts w:ascii="PT Serif" w:cs="PT Serif" w:eastAsia="PT Serif" w:hAnsi="PT Serif"/>
          <w:color w:val="7B8290"/>
          <w:sz w:val="18"/>
          <w:szCs w:val="18"/>
        </w:rPr>
        <w:t xml:space="preserve">Значения — точность на последней эпохе; максимум по эпохам во всём прогоне — 0.548 (mem, A→B, PatchUNet).</w:t>
      </w:r>
    </w:p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Data-driven парцелляция (k-means, k=20), 25 пациентов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120"/>
        <w:gridCol w:w="1560"/>
      </w:tblGrid>
      <w:tr>
        <w:trPr>
          <w:tblHeader/>
        </w:trPr>
        <w:tc>
          <w:tcPr>
            <w:tcW w:type="dxa" w:w="468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312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Разбиение</w:t>
            </w:r>
          </w:p>
        </w:tc>
        <w:tc>
          <w:tcPr>
            <w:tcW w:type="dxa" w:w="15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Точность</w:t>
            </w:r>
          </w:p>
        </w:tc>
      </w:tr>
      <w:tr>
        <w:tc>
          <w:tcPr>
            <w:tcW w:type="dxa" w:w="4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31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0.520</w:t>
            </w:r>
          </w:p>
        </w:tc>
      </w:tr>
      <w:tr>
        <w:tc>
          <w:tcPr>
            <w:tcW w:type="dxa" w:w="4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31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0.516</w:t>
            </w:r>
          </w:p>
        </w:tc>
      </w:tr>
      <w:tr>
        <w:tc>
          <w:tcPr>
            <w:tcW w:type="dxa" w:w="4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31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0.523</w:t>
            </w:r>
          </w:p>
        </w:tc>
      </w:tr>
      <w:tr>
        <w:tc>
          <w:tcPr>
            <w:tcW w:type="dxa" w:w="4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31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0.502</w:t>
            </w:r>
          </w:p>
        </w:tc>
      </w:tr>
    </w:tbl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Полный охват когорты, только структура (SimplePatchCNN)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900"/>
        <w:gridCol w:w="2000"/>
      </w:tblGrid>
      <w:tr>
        <w:trPr>
          <w:tblHeader/>
        </w:trPr>
        <w:tc>
          <w:tcPr>
            <w:tcW w:type="dxa" w:w="312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Разбиение</w:t>
            </w:r>
          </w:p>
        </w:tc>
        <w:tc>
          <w:tcPr>
            <w:tcW w:type="dxa" w:w="190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Пациентов</w:t>
            </w:r>
          </w:p>
        </w:tc>
        <w:tc>
          <w:tcPr>
            <w:tcW w:type="dxa" w:w="200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Точность</w:t>
            </w:r>
          </w:p>
        </w:tc>
      </w:tr>
      <w:tr>
        <w:tc>
          <w:tcPr>
            <w:tcW w:type="dxa" w:w="31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9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37</w:t>
            </w:r>
          </w:p>
        </w:tc>
        <w:tc>
          <w:tcPr>
            <w:tcW w:type="dxa" w:w="20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0.513</w:t>
            </w:r>
          </w:p>
        </w:tc>
      </w:tr>
      <w:tr>
        <w:tc>
          <w:tcPr>
            <w:tcW w:type="dxa" w:w="31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9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37</w:t>
            </w:r>
          </w:p>
        </w:tc>
        <w:tc>
          <w:tcPr>
            <w:tcW w:type="dxa" w:w="20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0.499</w:t>
            </w:r>
          </w:p>
        </w:tc>
      </w:tr>
      <w:tr>
        <w:tc>
          <w:tcPr>
            <w:tcW w:type="dxa" w:w="31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9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30</w:t>
            </w:r>
          </w:p>
        </w:tc>
        <w:tc>
          <w:tcPr>
            <w:tcW w:type="dxa" w:w="20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0.526</w:t>
            </w:r>
          </w:p>
        </w:tc>
      </w:tr>
      <w:tr>
        <w:tc>
          <w:tcPr>
            <w:tcW w:type="dxa" w:w="31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9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30</w:t>
            </w:r>
          </w:p>
        </w:tc>
        <w:tc>
          <w:tcPr>
            <w:tcW w:type="dxa" w:w="20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0.515</w:t>
            </w:r>
          </w:p>
        </w:tc>
      </w:tr>
    </w:tbl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Предобученный MedicalNet ResNet50 (заморожен) + MLP-голова, патч 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560"/>
        <w:gridCol w:w="2220"/>
        <w:gridCol w:w="2220"/>
      </w:tblGrid>
      <w:tr>
        <w:trPr>
          <w:tblHeader/>
        </w:trPr>
        <w:tc>
          <w:tcPr>
            <w:tcW w:type="dxa" w:w="180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15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Разбиение</w:t>
            </w:r>
          </w:p>
        </w:tc>
        <w:tc>
          <w:tcPr>
            <w:tcW w:type="dxa" w:w="15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Пациентов</w:t>
            </w:r>
          </w:p>
        </w:tc>
        <w:tc>
          <w:tcPr>
            <w:tcW w:type="dxa" w:w="222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Финальная точн.</w:t>
            </w:r>
          </w:p>
        </w:tc>
        <w:tc>
          <w:tcPr>
            <w:tcW w:type="dxa" w:w="222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Лучшая по эпохам</w:t>
            </w:r>
          </w:p>
        </w:tc>
      </w:tr>
      <w:tr>
        <w:tc>
          <w:tcPr>
            <w:tcW w:type="dxa" w:w="18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37</w:t>
            </w:r>
          </w:p>
        </w:tc>
        <w:tc>
          <w:tcPr>
            <w:tcW w:type="dxa" w:w="22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0.515</w:t>
            </w:r>
          </w:p>
        </w:tc>
        <w:tc>
          <w:tcPr>
            <w:tcW w:type="dxa" w:w="22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0.522</w:t>
            </w:r>
          </w:p>
        </w:tc>
      </w:tr>
      <w:tr>
        <w:tc>
          <w:tcPr>
            <w:tcW w:type="dxa" w:w="18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37</w:t>
            </w:r>
          </w:p>
        </w:tc>
        <w:tc>
          <w:tcPr>
            <w:tcW w:type="dxa" w:w="22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0.504</w:t>
            </w:r>
          </w:p>
        </w:tc>
        <w:tc>
          <w:tcPr>
            <w:tcW w:type="dxa" w:w="22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0.513</w:t>
            </w:r>
          </w:p>
        </w:tc>
      </w:tr>
      <w:tr>
        <w:tc>
          <w:tcPr>
            <w:tcW w:type="dxa" w:w="18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30</w:t>
            </w:r>
          </w:p>
        </w:tc>
        <w:tc>
          <w:tcPr>
            <w:tcW w:type="dxa" w:w="22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0.523</w:t>
            </w:r>
          </w:p>
        </w:tc>
        <w:tc>
          <w:tcPr>
            <w:tcW w:type="dxa" w:w="22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0.524</w:t>
            </w:r>
          </w:p>
        </w:tc>
      </w:tr>
      <w:tr>
        <w:tc>
          <w:tcPr>
            <w:tcW w:type="dxa" w:w="18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30</w:t>
            </w:r>
          </w:p>
        </w:tc>
        <w:tc>
          <w:tcPr>
            <w:tcW w:type="dxa" w:w="22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0.505</w:t>
            </w:r>
          </w:p>
        </w:tc>
        <w:tc>
          <w:tcPr>
            <w:tcW w:type="dxa" w:w="22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0.508</w:t>
            </w:r>
          </w:p>
        </w:tc>
      </w:tr>
    </w:tbl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Базовые CBF/OEF: T1-only против T1+физиология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Разбиение</w:t>
            </w:r>
          </w:p>
        </w:tc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T1-only</w:t>
            </w:r>
          </w:p>
        </w:tc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T1+CBF/OEF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0.514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0.506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0.514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0.515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0.528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0.502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0.510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0.503</w:t>
            </w:r>
          </w:p>
        </w:tc>
      </w:tr>
    </w:tbl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Динамические (на самой задаче) dCBF/dOEF: T1-only против T1+физиология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Разбиение</w:t>
            </w:r>
          </w:p>
        </w:tc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T1-only</w:t>
            </w:r>
          </w:p>
        </w:tc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T1+dCBF/dOEF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0.505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0.532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0.517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0.528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0.512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0.529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0.510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0.520</w:t>
            </w:r>
          </w:p>
        </w:tc>
      </w:tr>
    </w:tbl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Фильтрация по надёжности метки (|CMRO₂%change|), только структура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080"/>
        <w:gridCol w:w="2080"/>
        <w:gridCol w:w="2080"/>
      </w:tblGrid>
      <w:tr>
        <w:trPr>
          <w:tblHeader/>
        </w:trPr>
        <w:tc>
          <w:tcPr>
            <w:tcW w:type="dxa" w:w="15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15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Разбиение</w:t>
            </w:r>
          </w:p>
        </w:tc>
        <w:tc>
          <w:tcPr>
            <w:tcW w:type="dxa" w:w="208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Все воксели</w:t>
            </w:r>
          </w:p>
        </w:tc>
        <w:tc>
          <w:tcPr>
            <w:tcW w:type="dxa" w:w="208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Топ-50%</w:t>
            </w:r>
          </w:p>
        </w:tc>
        <w:tc>
          <w:tcPr>
            <w:tcW w:type="dxa" w:w="208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Топ-25%</w:t>
            </w:r>
          </w:p>
        </w:tc>
      </w:tr>
      <w:tr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20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0.522</w:t>
            </w:r>
          </w:p>
        </w:tc>
        <w:tc>
          <w:tcPr>
            <w:tcW w:type="dxa" w:w="20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0.532</w:t>
            </w:r>
          </w:p>
        </w:tc>
        <w:tc>
          <w:tcPr>
            <w:tcW w:type="dxa" w:w="20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0.504</w:t>
            </w:r>
          </w:p>
        </w:tc>
      </w:tr>
      <w:tr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20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0.514</w:t>
            </w:r>
          </w:p>
        </w:tc>
        <w:tc>
          <w:tcPr>
            <w:tcW w:type="dxa" w:w="20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0.524</w:t>
            </w:r>
          </w:p>
        </w:tc>
        <w:tc>
          <w:tcPr>
            <w:tcW w:type="dxa" w:w="20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0.523</w:t>
            </w:r>
          </w:p>
        </w:tc>
      </w:tr>
      <w:tr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20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0.490</w:t>
            </w:r>
          </w:p>
        </w:tc>
        <w:tc>
          <w:tcPr>
            <w:tcW w:type="dxa" w:w="20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0.524</w:t>
            </w:r>
          </w:p>
        </w:tc>
        <w:tc>
          <w:tcPr>
            <w:tcW w:type="dxa" w:w="20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0.506</w:t>
            </w:r>
          </w:p>
        </w:tc>
      </w:tr>
      <w:tr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20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0.502</w:t>
            </w:r>
          </w:p>
        </w:tc>
        <w:tc>
          <w:tcPr>
            <w:tcW w:type="dxa" w:w="20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0.515</w:t>
            </w:r>
          </w:p>
        </w:tc>
        <w:tc>
          <w:tcPr>
            <w:tcW w:type="dxa" w:w="20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0.520</w:t>
            </w:r>
          </w:p>
        </w:tc>
      </w:tr>
    </w:tbl>
    <w:p>
      <w:pPr>
        <w:spacing w:after="220" w:line="300"/>
      </w:pPr>
      <w:r>
        <w:rPr>
          <w:rFonts w:ascii="PT Serif" w:cs="PT Serif" w:eastAsia="PT Serif" w:hAnsi="PT Serif"/>
          <w:color w:val="7B8290"/>
          <w:sz w:val="18"/>
          <w:szCs w:val="18"/>
        </w:rPr>
        <w:t xml:space="preserve">Среднее по 4 комбинациям: все воксели — 0.507, топ-50% — 0.524, топ-25% — 0.513. Исправлено в разделе 06k: базовый уровень «большинство» для этих же тиров — 0.511–0.533 / 0.526–0.553 / 0.528–0.575 соответственно — модель не превосходит его ни разу.</w:t>
      </w:r>
    </w:p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ROI-усреднение (реальные Glasser-парцеллы), RegionMLP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730"/>
        <w:gridCol w:w="2730"/>
      </w:tblGrid>
      <w:tr>
        <w:trPr>
          <w:tblHeader/>
        </w:trPr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15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Разбиение</w:t>
            </w:r>
          </w:p>
        </w:tc>
        <w:tc>
          <w:tcPr>
            <w:tcW w:type="dxa" w:w="273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Точность модели</w:t>
            </w:r>
          </w:p>
        </w:tc>
        <w:tc>
          <w:tcPr>
            <w:tcW w:type="dxa" w:w="273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Базовый уровень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27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0.536</w:t>
            </w:r>
          </w:p>
        </w:tc>
        <w:tc>
          <w:tcPr>
            <w:tcW w:type="dxa" w:w="27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0.536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27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0.522</w:t>
            </w:r>
          </w:p>
        </w:tc>
        <w:tc>
          <w:tcPr>
            <w:tcW w:type="dxa" w:w="27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0.522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27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0.567</w:t>
            </w:r>
          </w:p>
        </w:tc>
        <w:tc>
          <w:tcPr>
            <w:tcW w:type="dxa" w:w="27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0.567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27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0.527</w:t>
            </w:r>
          </w:p>
        </w:tc>
        <w:tc>
          <w:tcPr>
            <w:tcW w:type="dxa" w:w="27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0.527</w:t>
            </w:r>
          </w:p>
        </w:tc>
      </w:tr>
    </w:tbl>
    <w:p>
      <w:pPr>
        <w:spacing w:after="220" w:line="300"/>
      </w:pPr>
      <w:r>
        <w:rPr>
          <w:rFonts w:ascii="PT Serif" w:cs="PT Serif" w:eastAsia="PT Serif" w:hAnsi="PT Serif"/>
          <w:color w:val="7B8290"/>
          <w:sz w:val="18"/>
          <w:szCs w:val="18"/>
        </w:rPr>
        <w:t xml:space="preserve">Точность модели совпадает с базовым уровнем «большинство» до 3–4 знака после запятой в каждой комбинации.</w:t>
      </w:r>
    </w:p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Двойной фильтр (надёжность × positive-BOLD), только структура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500"/>
        <w:gridCol w:w="1500"/>
        <w:gridCol w:w="2260"/>
      </w:tblGrid>
      <w:tr>
        <w:trPr>
          <w:tblHeader/>
        </w:trPr>
        <w:tc>
          <w:tcPr>
            <w:tcW w:type="dxa" w:w="130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130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Разб.</w:t>
            </w:r>
          </w:p>
        </w:tc>
        <w:tc>
          <w:tcPr>
            <w:tcW w:type="dxa" w:w="130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Все</w:t>
            </w:r>
          </w:p>
        </w:tc>
        <w:tc>
          <w:tcPr>
            <w:tcW w:type="dxa" w:w="150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Топ-50%</w:t>
            </w:r>
          </w:p>
        </w:tc>
        <w:tc>
          <w:tcPr>
            <w:tcW w:type="dxa" w:w="150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Pos-BOLD</w:t>
            </w:r>
          </w:p>
        </w:tc>
        <w:tc>
          <w:tcPr>
            <w:tcW w:type="dxa" w:w="22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Pos-BOLD+Топ-50%</w:t>
            </w:r>
          </w:p>
        </w:tc>
      </w:tr>
      <w:tr>
        <w:tc>
          <w:tcPr>
            <w:tcW w:type="dxa" w:w="13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3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3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0.512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0.523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0.569</w:t>
            </w:r>
          </w:p>
        </w:tc>
        <w:tc>
          <w:tcPr>
            <w:tcW w:type="dxa" w:w="22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0.624</w:t>
            </w:r>
          </w:p>
        </w:tc>
      </w:tr>
      <w:tr>
        <w:tc>
          <w:tcPr>
            <w:tcW w:type="dxa" w:w="13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3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3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0.504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0.513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0.527</w:t>
            </w:r>
          </w:p>
        </w:tc>
        <w:tc>
          <w:tcPr>
            <w:tcW w:type="dxa" w:w="22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0.536</w:t>
            </w:r>
          </w:p>
        </w:tc>
      </w:tr>
      <w:tr>
        <w:tc>
          <w:tcPr>
            <w:tcW w:type="dxa" w:w="13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3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3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0.520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0.550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0.555</w:t>
            </w:r>
          </w:p>
        </w:tc>
        <w:tc>
          <w:tcPr>
            <w:tcW w:type="dxa" w:w="22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0.627</w:t>
            </w:r>
          </w:p>
        </w:tc>
      </w:tr>
      <w:tr>
        <w:tc>
          <w:tcPr>
            <w:tcW w:type="dxa" w:w="13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3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3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0.505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0.513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0.525</w:t>
            </w:r>
          </w:p>
        </w:tc>
        <w:tc>
          <w:tcPr>
            <w:tcW w:type="dxa" w:w="22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0.571</w:t>
            </w:r>
          </w:p>
        </w:tc>
      </w:tr>
    </w:tbl>
    <w:p>
      <w:pPr>
        <w:spacing w:after="220" w:line="300"/>
      </w:pPr>
      <w:r>
        <w:rPr>
          <w:rFonts w:ascii="PT Serif" w:cs="PT Serif" w:eastAsia="PT Serif" w:hAnsi="PT Serif"/>
          <w:color w:val="7B8290"/>
          <w:sz w:val="18"/>
          <w:szCs w:val="18"/>
        </w:rPr>
        <w:t xml:space="preserve">Базовые уровни «большинство» для крайнего правого столбца: 0.628 / 0.609 / 0.622 / 0.568 — модель не превосходит их ни разу.</w:t>
      </w:r>
    </w:p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3-классовая постановка (concordant/discordant/unreliable)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730"/>
        <w:gridCol w:w="2730"/>
      </w:tblGrid>
      <w:tr>
        <w:trPr>
          <w:tblHeader/>
        </w:trPr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15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Разбиение</w:t>
            </w:r>
          </w:p>
        </w:tc>
        <w:tc>
          <w:tcPr>
            <w:tcW w:type="dxa" w:w="273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3-кл. точность</w:t>
            </w:r>
          </w:p>
        </w:tc>
        <w:tc>
          <w:tcPr>
            <w:tcW w:type="dxa" w:w="273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Строгая точн. на надёжных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27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0.509</w:t>
            </w:r>
          </w:p>
        </w:tc>
        <w:tc>
          <w:tcPr>
            <w:tcW w:type="dxa" w:w="27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0.010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27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0.484</w:t>
            </w:r>
          </w:p>
        </w:tc>
        <w:tc>
          <w:tcPr>
            <w:tcW w:type="dxa" w:w="27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0.056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27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0.475</w:t>
            </w:r>
          </w:p>
        </w:tc>
        <w:tc>
          <w:tcPr>
            <w:tcW w:type="dxa" w:w="27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0.119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27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0.467</w:t>
            </w:r>
          </w:p>
        </w:tc>
        <w:tc>
          <w:tcPr>
            <w:tcW w:type="dxa" w:w="27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0.092</w:t>
            </w:r>
          </w:p>
        </w:tc>
      </w:tr>
    </w:tbl>
    <w:p>
      <w:pPr>
        <w:spacing w:after="220" w:line="300"/>
      </w:pPr>
      <w:r>
        <w:rPr>
          <w:rFonts w:ascii="PT Serif" w:cs="PT Serif" w:eastAsia="PT Serif" w:hAnsi="PT Serif"/>
          <w:color w:val="7B8290"/>
          <w:sz w:val="18"/>
          <w:szCs w:val="18"/>
        </w:rPr>
        <w:t xml:space="preserve">Базовый уровень «всегда unreliable»: 0.507 / 0.492 / 0.505 / 0.495 — практически совпадает с 3-классовой точностью модели.</w:t>
      </w:r>
    </w:p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Настоящая Z-статистика: точность модели и базовый уровень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500"/>
        <w:gridCol w:w="2530"/>
        <w:gridCol w:w="2530"/>
      </w:tblGrid>
      <w:tr>
        <w:trPr>
          <w:tblHeader/>
        </w:trPr>
        <w:tc>
          <w:tcPr>
            <w:tcW w:type="dxa" w:w="140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140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Разб.</w:t>
            </w:r>
          </w:p>
        </w:tc>
        <w:tc>
          <w:tcPr>
            <w:tcW w:type="dxa" w:w="150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Тир</w:t>
            </w:r>
          </w:p>
        </w:tc>
        <w:tc>
          <w:tcPr>
            <w:tcW w:type="dxa" w:w="253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Точность</w:t>
            </w:r>
          </w:p>
        </w:tc>
        <w:tc>
          <w:tcPr>
            <w:tcW w:type="dxa" w:w="253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База «большинство»</w:t>
            </w:r>
          </w:p>
        </w:tc>
      </w:tr>
      <w:tr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покрыто z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0.583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0.585</w:t>
            </w:r>
          </w:p>
        </w:tc>
      </w:tr>
      <w:tr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топ-50%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0.602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0.602</w:t>
            </w:r>
          </w:p>
        </w:tc>
      </w:tr>
      <w:tr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топ-25%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0.590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0.590</w:t>
            </w:r>
          </w:p>
        </w:tc>
      </w:tr>
      <w:tr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покрыто z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0.578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0.578</w:t>
            </w:r>
          </w:p>
        </w:tc>
      </w:tr>
      <w:tr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топ-50%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0.597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0.596</w:t>
            </w:r>
          </w:p>
        </w:tc>
      </w:tr>
      <w:tr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топ-25%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0.574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0.606</w:t>
            </w:r>
          </w:p>
        </w:tc>
      </w:tr>
      <w:tr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покрыто z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0.590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0.599</w:t>
            </w:r>
          </w:p>
        </w:tc>
      </w:tr>
      <w:tr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топ-50%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0.602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0.608</w:t>
            </w:r>
          </w:p>
        </w:tc>
      </w:tr>
      <w:tr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топ-25%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0.622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0.628</w:t>
            </w:r>
          </w:p>
        </w:tc>
      </w:tr>
      <w:tr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покрыто z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0.548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0.573</w:t>
            </w:r>
          </w:p>
        </w:tc>
      </w:tr>
      <w:tr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топ-50%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0.539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0.596</w:t>
            </w:r>
          </w:p>
        </w:tc>
      </w:tr>
      <w:tr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4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50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топ-25%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0.544</w:t>
            </w:r>
          </w:p>
        </w:tc>
        <w:tc>
          <w:tcPr>
            <w:tcW w:type="dxa" w:w="253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0.615</w:t>
            </w:r>
          </w:p>
        </w:tc>
      </w:tr>
    </w:tbl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Групповой (межпациентный) анализ: точность и базовый уровень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rPr>
          <w:tblHeader/>
        </w:trPr>
        <w:tc>
          <w:tcPr>
            <w:tcW w:type="dxa" w:w="187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187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Разбиение</w:t>
            </w:r>
          </w:p>
        </w:tc>
        <w:tc>
          <w:tcPr>
            <w:tcW w:type="dxa" w:w="187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Точность модели</w:t>
            </w:r>
          </w:p>
        </w:tc>
        <w:tc>
          <w:tcPr>
            <w:tcW w:type="dxa" w:w="187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База «большинство»</w:t>
            </w:r>
          </w:p>
        </w:tc>
        <w:tc>
          <w:tcPr>
            <w:tcW w:type="dxa" w:w="188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Парцеллов</w:t>
            </w:r>
          </w:p>
        </w:tc>
      </w:tr>
      <w:tr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0.606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0.606</w:t>
            </w:r>
          </w:p>
        </w:tc>
        <w:tc>
          <w:tcPr>
            <w:tcW w:type="dxa" w:w="18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362</w:t>
            </w:r>
          </w:p>
        </w:tc>
      </w:tr>
      <w:tr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0.582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0.582</w:t>
            </w:r>
          </w:p>
        </w:tc>
        <w:tc>
          <w:tcPr>
            <w:tcW w:type="dxa" w:w="18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362</w:t>
            </w:r>
          </w:p>
        </w:tc>
      </w:tr>
      <w:tr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0.711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0.711</w:t>
            </w:r>
          </w:p>
        </w:tc>
        <w:tc>
          <w:tcPr>
            <w:tcW w:type="dxa" w:w="18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362</w:t>
            </w:r>
          </w:p>
        </w:tc>
      </w:tr>
      <w:tr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0.632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0.632</w:t>
            </w:r>
          </w:p>
        </w:tc>
        <w:tc>
          <w:tcPr>
            <w:tcW w:type="dxa" w:w="18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362</w:t>
            </w:r>
          </w:p>
        </w:tc>
      </w:tr>
    </w:tbl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Настоящий атлас Glasser/HCP-MMP1.0 (объёмное приближение)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120"/>
        <w:gridCol w:w="1560"/>
      </w:tblGrid>
      <w:tr>
        <w:trPr>
          <w:tblHeader/>
        </w:trPr>
        <w:tc>
          <w:tcPr>
            <w:tcW w:type="dxa" w:w="468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312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Разбиение</w:t>
            </w:r>
          </w:p>
        </w:tc>
        <w:tc>
          <w:tcPr>
            <w:tcW w:type="dxa" w:w="156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Точность</w:t>
            </w:r>
          </w:p>
        </w:tc>
      </w:tr>
      <w:tr>
        <w:tc>
          <w:tcPr>
            <w:tcW w:type="dxa" w:w="4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31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0.512</w:t>
            </w:r>
          </w:p>
        </w:tc>
      </w:tr>
      <w:tr>
        <w:tc>
          <w:tcPr>
            <w:tcW w:type="dxa" w:w="4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31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0.510</w:t>
            </w:r>
          </w:p>
        </w:tc>
      </w:tr>
      <w:tr>
        <w:tc>
          <w:tcPr>
            <w:tcW w:type="dxa" w:w="4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31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0.523</w:t>
            </w:r>
          </w:p>
        </w:tc>
      </w:tr>
      <w:tr>
        <w:tc>
          <w:tcPr>
            <w:tcW w:type="dxa" w:w="46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312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56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0.516</w:t>
            </w:r>
          </w:p>
        </w:tc>
      </w:tr>
    </w:tbl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4-архитектурный ансамбль: точность и базовый уровень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Разбиение</w:t>
            </w:r>
          </w:p>
        </w:tc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Ансамбль</w:t>
            </w:r>
          </w:p>
        </w:tc>
        <w:tc>
          <w:tcPr>
            <w:tcW w:type="dxa" w:w="234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База «большинство»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0.513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0.521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0.517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0.522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0.490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0.529</w:t>
            </w:r>
          </w:p>
        </w:tc>
      </w:tr>
      <w:tr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0.502</w:t>
            </w:r>
          </w:p>
        </w:tc>
        <w:tc>
          <w:tcPr>
            <w:tcW w:type="dxa" w:w="234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0.504</w:t>
            </w:r>
          </w:p>
        </w:tc>
      </w:tr>
    </w:tbl>
    <w:p>
      <w:pPr>
        <w:spacing w:after="220" w:line="300"/>
      </w:pPr>
      <w:r>
        <w:rPr>
          <w:rFonts w:ascii="PT Serif" w:cs="PT Serif" w:eastAsia="PT Serif" w:hAnsi="PT Serif"/>
          <w:color w:val="7B8290"/>
          <w:sz w:val="18"/>
          <w:szCs w:val="18"/>
        </w:rPr>
        <w:t xml:space="preserve">Отдельные архитектуры в том же прогоне: SimplePatchCNN 0.486–0.520, DeeperPatchCNN 0.501–0.521, AttentionPatchCNN 0.502–0.529 (совпадает с базой в 2 разбиениях), PatchUNet 0.488–0.510 — ни одна не превосходит свой базовый уровень.</w:t>
      </w:r>
    </w:p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Базовый CBV (гипотеза сосудистой морфологии): точность и базовый уровень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rPr>
          <w:tblHeader/>
        </w:trPr>
        <w:tc>
          <w:tcPr>
            <w:tcW w:type="dxa" w:w="187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Контраст</w:t>
            </w:r>
          </w:p>
        </w:tc>
        <w:tc>
          <w:tcPr>
            <w:tcW w:type="dxa" w:w="187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Разбиение</w:t>
            </w:r>
          </w:p>
        </w:tc>
        <w:tc>
          <w:tcPr>
            <w:tcW w:type="dxa" w:w="187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T1-only</w:t>
            </w:r>
          </w:p>
        </w:tc>
        <w:tc>
          <w:tcPr>
            <w:tcW w:type="dxa" w:w="187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T1+CBV</w:t>
            </w:r>
          </w:p>
        </w:tc>
        <w:tc>
          <w:tcPr>
            <w:tcW w:type="dxa" w:w="1880"/>
            <w:tcBorders>
              <w:bottom w:val="single" w:color="7B8290" w:sz="6"/>
            </w:tcBorders>
            <w:shd w:fill="F1EF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PT Sans" w:cs="PT Sans" w:eastAsia="PT Sans" w:hAnsi="PT Sans"/>
                <w:b/>
                <w:bCs/>
                <w:color w:val="7B8290"/>
                <w:sz w:val="16"/>
                <w:szCs w:val="16"/>
              </w:rPr>
              <w:t xml:space="preserve">База «большинство»</w:t>
            </w:r>
          </w:p>
        </w:tc>
      </w:tr>
      <w:tr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0.498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0.511</w:t>
            </w:r>
          </w:p>
        </w:tc>
        <w:tc>
          <w:tcPr>
            <w:tcW w:type="dxa" w:w="18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0.516</w:t>
            </w:r>
          </w:p>
        </w:tc>
      </w:tr>
      <w:tr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calc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0.506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0.509</w:t>
            </w:r>
          </w:p>
        </w:tc>
        <w:tc>
          <w:tcPr>
            <w:tcW w:type="dxa" w:w="18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0.513</w:t>
            </w:r>
          </w:p>
        </w:tc>
      </w:tr>
      <w:tr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A→B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0.519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0.524</w:t>
            </w:r>
          </w:p>
        </w:tc>
        <w:tc>
          <w:tcPr>
            <w:tcW w:type="dxa" w:w="18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0.534</w:t>
            </w:r>
          </w:p>
        </w:tc>
      </w:tr>
      <w:tr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color w:val="1B1E23"/>
                <w:sz w:val="19"/>
                <w:szCs w:val="19"/>
              </w:rPr>
              <w:t xml:space="preserve">mem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B→A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0.507</w:t>
            </w:r>
          </w:p>
        </w:tc>
        <w:tc>
          <w:tcPr>
            <w:tcW w:type="dxa" w:w="187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0.506</w:t>
            </w:r>
          </w:p>
        </w:tc>
        <w:tc>
          <w:tcPr>
            <w:tcW w:type="dxa" w:w="1880"/>
            <w:tcBorders>
              <w:bottom w:val="single" w:color="EAE8E0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PT Mono" w:cs="PT Mono" w:eastAsia="PT Mono" w:hAnsi="PT Mono"/>
                <w:color w:val="7B8290"/>
                <w:sz w:val="19"/>
                <w:szCs w:val="19"/>
              </w:rPr>
              <w:t xml:space="preserve">0.508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6"/>
          <w:szCs w:val="16"/>
        </w:rPr>
        <w:t xml:space="preserve">08 · ДАЛЬНЕЙШИЕ ШАГИ</w:t>
      </w:r>
    </w:p>
    <w:p>
      <w:pPr>
        <w:pStyle w:val="Heading1"/>
        <w:spacing w:after="200" w:before="420"/>
      </w:pPr>
      <w:r>
        <w:rPr>
          <w:rFonts w:ascii="PT Serif" w:cs="PT Serif" w:eastAsia="PT Serif" w:hAnsi="PT Serif"/>
          <w:b/>
          <w:bCs/>
          <w:color w:val="1B1E23"/>
          <w:sz w:val="32"/>
          <w:szCs w:val="32"/>
        </w:rPr>
        <w:t xml:space="preserve">Пути к настоящим 0.65–0.70</w:t>
      </w:r>
    </w:p>
    <w:p>
      <w:pPr>
        <w:spacing w:after="160" w:line="300"/>
      </w:pPr>
      <w:r>
        <w:rPr>
          <w:rFonts w:ascii="PT Serif" w:cs="PT Serif" w:eastAsia="PT Serif" w:hAnsi="PT Serif"/>
          <w:color w:val="4A505C"/>
          <w:sz w:val="22"/>
          <w:szCs w:val="22"/>
        </w:rPr>
        <w:t xml:space="preserve">Ни один пункт из списка ниже не гарантирует результат — именно это и означает хорошо проверенный отрицательный результат на 228 прогонах. Три пункта, ранее названных недостижимыми, были пересмотрены по прямому запросу: два оказались достижимы и дали тот же случайный результат (разделы 06p), один — surface-based FreeSurfer — подтверждён заблокированным уже с конкретными доказательствами, а не предположением. Однократный ансамбль всех архитектур (раздел 06q) и прямая проверка гипотезы руководителя о сосудистой морфологии через базовый CBV (раздел 06r) добавлены уже после этой точки как принципиальные, не поисковые проверки — и обе тоже пришли к нулевому результату.</w:t>
      </w:r>
    </w:p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Уже испытано (полный список)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Ковариаты (возраст/Hct/пол) — 0.480–0.531, случайный уровень (раздел 06b).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Настоящий U-Net со skip-connections + дообучение с аугментацией на всех 4 архитектурах — 0.499–0.548, случайный уровень (раздел 06c).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Data-driven парцелляция (k-means по T1-интенсивности) — 0.502–0.523, случайный уровень (раздел 06d).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Полный охват когорты (39 из 40 пациентов вместо 25) — 0.499–0.526, случайный уровень (раздел 06e).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Предобученный на внешних данных 3D-backbone (MedicalNet ResNet50, 46.2М параметров) — 0.504–0.523, случайный уровень (раздел 06f).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Базовые (в покое) карты CBF/OEF — 0.510–0.528 против 0.502–0.515, отрыва нет (раздел 06g).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Настоящий атлас Glasser/HCP-MMP1.0 (объёмное приближение) — 0.510–0.523, случайный уровень (раздел 06h).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Динамические (на задаче) dCBF/dOEF — 0.505–0.517 против 0.520–0.532; чуть выше, но внутри общей полосы шума и частично объяснимо близостью к формуле метки (раздел 06i).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Фильтрация по надёжности метки, ROI-усреднение, двойной фильтр, 3-классовая постановка, настоящая Z-статистика и групповой анализ — шесть разных способов операционализировать находку Büchel et al. в предиктор, часть из них сначала показывала цифры выше обычного диапазона (вплоть до 0.627 — самой высокой точности за весь проект), но ни один не превзошёл собственный тривиальный базовый уровень «большинство» после проверки (разделы 06k–06n, 06p).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Однократный мягко-голосующий ансамбль всех 4 архитектур — 0.490–0.517 против собственного базового уровня 0.504–0.529, не превосходит его ни разу (раздел 06q).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Базовый CBV — прямая проверка гипотезы руководителя о сосудистой морфологии/капиллярной плотности — 0.506–0.524 (T1+CBV) против 0.508–0.534 (базовый уровень), не превосходит его ни разу; T1-only в том же диапазоне 0.498–0.519 (раздел 06r).</w:t>
      </w:r>
    </w:p>
    <w:p>
      <w:pPr>
        <w:pStyle w:val="Heading2"/>
        <w:spacing w:after="140" w:before="300"/>
      </w:pPr>
      <w:r>
        <w:rPr>
          <w:rFonts w:ascii="PT Serif" w:cs="PT Serif" w:eastAsia="PT Serif" w:hAnsi="PT Serif"/>
          <w:b/>
          <w:bCs/>
          <w:color w:val="5B3E96"/>
          <w:sz w:val="25"/>
          <w:szCs w:val="25"/>
        </w:rPr>
        <w:t xml:space="preserve">Что реально осталось недостижимым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Независимая переоценка Büchel et al. (2026) самого источника метки: 77.2% вокселей статистически не классифицируемы как concordant/discordant с учётом неопределённости оценок CMRO₂ (раздел 06j) — остаётся независимо обоснованным фактом о датасете, и групповой результат этого проекта (59–67% регионов склоняются к concordant по популяции) — скромное, но согласующееся описательное наблюдение в том же духе. Но ни один из шести способов этого проекта операционализировать находку в предиктор не дал структурного сигнала после проверки — включая переход от суррогата к настоящей Z-статистике и переход на популяционный масштаб, где шум должен усредняться сильнее всего.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Единственное, что осталось по-настоящему недостижимым: surface-based (не объёмная) обработка атласа Glasser через FreeSurfer — подтверждено напрямую: нет пакета PyPI, и независимо от этого T1 этого датасета покрывает только 99мм по глубине, меньше, чем нужно для реконструкции поверхности всего мозга вне зависимости от доступности ПО.</w:t>
      </w:r>
    </w:p>
    <w:p>
      <w:pPr>
        <w:spacing w:after="80"/>
      </w:pPr>
    </w:p>
    <w:tbl>
      <w:tblPr>
        <w:tblW w:type="pct" w:w="100%"/>
        <w:tblBorders>
          <w:top w:val="dashed" w:color="A6403A" w:sz="6"/>
          <w:left w:val="dashed" w:color="A6403A" w:sz="6"/>
          <w:bottom w:val="dashed" w:color="A6403A" w:sz="6"/>
          <w:right w:val="dashed" w:color="A6403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40"/>
            </w:pPr>
            <w:r>
              <w:rPr>
                <w:rFonts w:ascii="PT Sans" w:cs="PT Sans" w:eastAsia="PT Sans" w:hAnsi="PT Sans"/>
                <w:b/>
                <w:bCs/>
                <w:color w:val="A6403A"/>
                <w:spacing w:val="15"/>
                <w:sz w:val="18"/>
                <w:szCs w:val="18"/>
              </w:rPr>
              <w:t xml:space="preserve">ЧТО СДВИНУЛО БЫ ЦИФРУ, НЕ БУДУЧИ РЕАЛЬНЫМ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Публикация лучшего результата из многих прогонов без проверки на дисбаланс классов. Именно так самая высокая точность за весь проект (0.627) на первый взгляд выглядела как находка — и именно поэтому в этот отчёт включена проверка против тривиального базового уровня «большинство» для каждого результата, а не только против 0.5.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Уменьшение отступа между обучающим и тестовым полушариями. Весь смысл отступа — не дать патчу с одной стороны пересекаться с патчем с другой; меньший отступ поднимет точность за счёт утечки сходства соседних вокселей, а не за счёт найденной структуры.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Оценка на обучающих вокселях, либо использование тестовых вокселей для выбора модели/эпохи. И то, и другое превращает отложенную выборку в данные, близкие к обучающим.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Подача самого CMRO₂ или BOLD_percchange в модель как признака за пределами осознанного, раскрытого случая из Эксперимента 2 (настоящий измеренный BOLD, который всё равно требует независимого предсказания стороны CMRO₂) — что-либо ближе к самой метке означает решение по ключу ответов.</w:t>
            </w:r>
          </w:p>
        </w:tc>
      </w:tr>
    </w:tbl>
    <w:p>
      <w:pPr>
        <w:spacing w:after="280"/>
      </w:pPr>
    </w:p>
    <w:p>
      <w:pPr>
        <w:pBdr>
          <w:top w:val="single" w:color="DFDCD3" w:sz="4"/>
        </w:pBdr>
        <w:spacing w:before="200"/>
      </w:pPr>
      <w:r>
        <w:rPr>
          <w:rFonts w:ascii="PT Sans" w:cs="PT Sans" w:eastAsia="PT Sans" w:hAnsi="PT Sans"/>
          <w:color w:val="7B8290"/>
          <w:sz w:val="16"/>
          <w:szCs w:val="16"/>
        </w:rPr>
        <w:t xml:space="preserve">Ветка patient-structural-classification · полный код, тесты и результаты каждого прогона — в репозитории. Составлено на основе 228 реальных обучений на метках, полученных из данных OpenNeuro с лицензией CC0.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b574f7e594fe0036c1f0dbcc9aecc74f33f25e4.png"/><Relationship Id="rId8" Type="http://schemas.openxmlformats.org/officeDocument/2006/relationships/image" Target="media/9623f7438a99cf7dc603112ca399c762dbcdaafe.png"/><Relationship Id="rId9" Type="http://schemas.openxmlformats.org/officeDocument/2006/relationships/image" Target="media/6ce9f790247d1f8414c0534b4c02540031350454.png"/><Relationship Id="rId10" Type="http://schemas.openxmlformats.org/officeDocument/2006/relationships/image" Target="media/f5dafb9a47cc70ee8187d07e99aa1c0043724b34.png"/><Relationship Id="rId11" Type="http://schemas.openxmlformats.org/officeDocument/2006/relationships/image" Target="media/d4049f904705ea310d15327ccda903e5cbeeba0b.png"/><Relationship Id="rId12" Type="http://schemas.openxmlformats.org/officeDocument/2006/relationships/image" Target="media/d3d95eaad7f72b02a0fd97d820b0d252139a306c.png"/><Relationship Id="rId13" Type="http://schemas.openxmlformats.org/officeDocument/2006/relationships/image" Target="media/a905d707c15fda27fe6a343570ee5f2d5d8cd4c2.png"/><Relationship Id="rId14" Type="http://schemas.openxmlformats.org/officeDocument/2006/relationships/image" Target="media/352944d92f0fce203358a762cbb24c67a47965d9.png"/><Relationship Id="rId15" Type="http://schemas.openxmlformats.org/officeDocument/2006/relationships/image" Target="media/bcf89744c9f5af12abdb84ea342781b40f2b0dcf.png"/><Relationship Id="rId16" Type="http://schemas.openxmlformats.org/officeDocument/2006/relationships/image" Target="media/b489e0700f7757119f51994b7b5cabea537b02f6.png"/><Relationship Id="rId17" Type="http://schemas.openxmlformats.org/officeDocument/2006/relationships/image" Target="media/b1990008817f0e4a32006e1223d9e2866da9ef32.png"/><Relationship Id="rId18" Type="http://schemas.openxmlformats.org/officeDocument/2006/relationships/image" Target="media/90786f1f5de3a119cbf9bb634190f6910a2444c9.png"/><Relationship Id="rId19" Type="http://schemas.openxmlformats.org/officeDocument/2006/relationships/image" Target="media/e9984c3cb4d8139071ea83b50d6e5cfe36057ccb.png"/><Relationship Id="rId20" Type="http://schemas.openxmlformats.org/officeDocument/2006/relationships/image" Target="media/7160d90989b337cf8961fcd078b1af45ca3621dd.png"/><Relationship Id="rId21" Type="http://schemas.openxmlformats.org/officeDocument/2006/relationships/image" Target="media/cbcd026445defb22be6c786112a3cb7a8b2b2801.png"/><Relationship Id="rId22" Type="http://schemas.openxmlformats.org/officeDocument/2006/relationships/image" Target="media/a8559f550592fd670f6b3c8430c3e8016f0db153.png"/><Relationship Id="rId23" Type="http://schemas.openxmlformats.org/officeDocument/2006/relationships/image" Target="media/e13cb052e076d1a370c5dc0a3aea35fe096206a0.png"/><Relationship Id="rId24" Type="http://schemas.openxmlformats.org/officeDocument/2006/relationships/image" Target="media/3e420d279692361b9046fb7900aaaafed9d2fdfa.png"/><Relationship Id="rId25" Type="http://schemas.openxmlformats.org/officeDocument/2006/relationships/image" Target="media/b04022a4814bc31ee723507d50e62b4fa10ecd2f.png"/><Relationship Id="rId26" Type="http://schemas.openxmlformats.org/officeDocument/2006/relationships/image" Target="media/e71bb3fea71e2d3394e55fcb2af25bb64361fb3e.png"/><Relationship Id="rId27" Type="http://schemas.openxmlformats.org/officeDocument/2006/relationships/image" Target="media/4320d374ea7f2d47f93a901462fc6e2f5a8d45ac.png"/><Relationship Id="rId28" Type="http://schemas.openxmlformats.org/officeDocument/2006/relationships/image" Target="media/ecc15a698464b166f1c0c9b989ab7ab3e14fc8e3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2026-09-22T08:45:33.365Z</dcterms:created>
  <dcterms:modified xsi:type="dcterms:W3CDTF">2026-09-22T08:45:33.380Z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