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PT Sans" w:cs="PT Sans" w:eastAsia="PT Sans" w:hAnsi="PT Sans"/>
          <w:b/>
          <w:bCs/>
          <w:color w:val="157A6E"/>
          <w:spacing w:val="15"/>
          <w:sz w:val="16"/>
          <w:szCs w:val="16"/>
        </w:rPr>
        <w:t xml:space="preserve">ВНУТРЕННЯЯ ИССЛЕДОВАТЕЛЬСКАЯ ЗАПИСКА · КОНВЕЙЕР СТРУКТУРНОЙ КЛАССИФИКАЦИИ</w:t>
      </w:r>
    </w:p>
    <w:p>
      <w:pPr>
        <w:spacing w:after="200"/>
      </w:pPr>
      <w:r>
        <w:rPr>
          <w:rFonts w:ascii="PT Serif" w:cs="PT Serif" w:eastAsia="PT Serif" w:hAnsi="PT Serif"/>
          <w:b/>
          <w:bCs/>
          <w:color w:val="1B1E23"/>
          <w:sz w:val="40"/>
          <w:szCs w:val="40"/>
        </w:rPr>
        <w:t xml:space="preserve">Предсказывает ли структура коры согласованность BOLD и CMRO₂ в вокселе?</w:t>
      </w:r>
    </w:p>
    <w:p>
      <w:pPr>
        <w:spacing w:after="2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Полный отчёт по всем экспериментам, проведённым на калиброванном fMRI-датасете (Epp et al., two_modes_of_hemodynamics) — от проверки метки concordant/discordant по модели Дэвиса до 148 реальных обучений на пяти архитектурах (включая настоящий U-Net и предобученный на внешних данных 3D-backbone), четырёх структурных/физиологических представлениях входа (T1, T1+сырой/усреднённый по условиям BOLD, T1+базовые CBF/OEF), трёх не-структурных признаках (ковариаты, регионализация, парцелляция), трёх масштабах патча и двух постановках задачи, на когорте, доведённой до 39 из 40 пациентов датасета.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148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реальных обучения на настоящих метках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39/40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пациентов с рабочей разметкой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9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конфигураций модель/вход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A6403A"/>
                <w:sz w:val="30"/>
                <w:szCs w:val="30"/>
              </w:rPr>
              <w:t xml:space="preserve">0.48–0.55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диапазон точности (уровень случайности)</w:t>
            </w:r>
          </w:p>
        </w:tc>
      </w:tr>
    </w:tbl>
    <w:p>
      <w:pPr>
        <w:spacing w:after="3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01 · ОБЗОР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Резюме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 всем испытанным архитектурам, представлениям входных данных, пространственным масштабам и постановкам задачи локальное структурное (и BOLD-) окружение вокселя не предсказывает его статус concordant/discordant по CMRO₂ выше уровня случайности.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Ориентир руководителя для «есть реальное, обучаемое структурное различие» — точность 0.65–0.70 на тесте. Ни один из испытанных вариантов не достиг этого уровня, и потолок не сдвинулся ни при одном из испытанных рычагов: больше пациентов (5 → 25 → 37 на полном охвате когорты), более содержательный BOLD-признак (сырой временной ряд → % изменения по условиям), больше пространственного контекста (патч 9³ → 15³ вокселей), внешние ковариаты (возраст/Hct/пол), не-структурные пространственные признаки (грубая сетка → data-driven k-means-парцелляция), четвёртая архитектура с принципиально другим индуктивным смещением (настоящий U-Net) с более долгим аугментированным обучением, backbone, предобученный на реальных внешних 3D-медицинских данных (MedicalNet ResNet50, 46.2М параметров), или цель, сохраняющая величину, а не только знак (классификация → регрессия на CMRO₂%change). Эта сходимость сама по себе и есть находка: похоже на подлинное отсутствие локального сигнала на испытанных масштабах, а не на недостаток модели, объёма предобучения или выборки.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ЧТО ОСТАЁТСЯ ПОЛЕЗНЫМ НЕЗАВИСИМО ОТ РЕЗУЛЬТАТА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Проверенная реализация логики разметки (с одним найденным реальным багом в коде модели Дэвиса из исходного репозитория), рабочий способ восстановления производных данных через историю версий S3 (которых больше нет в текущем публичном листинге датасета), и протестированный конвейер обучения на объединённой когорте, куда любой новый признак или цель подключается одной функцией.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02 · ОСНОВАНИЯ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Данные и происхождение разметки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Проверяемая метка — та, что описана в собственном коде анализа </w:t>
      </w:r>
      <w:r>
        <w:rPr>
          <w:rFonts w:ascii="PT Serif" w:cs="PT Serif" w:eastAsia="PT Serif" w:hAnsi="PT Serif"/>
          <w:i/>
          <w:iCs/>
          <w:color w:val="1B1E23"/>
          <w:sz w:val="22"/>
          <w:szCs w:val="22"/>
        </w:rPr>
        <w:t xml:space="preserve">two_modes_of_hemodynamics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: воксель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concordant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, если ΔBOLD и ΔCMRO₂ имеют одинаковый знак,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discordant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— если противоположный: sign(CMRO2_percchange) × sign(BOLD_percchange), где CMRO₂ считается по принципу Фика (CBF × OEF × CaO₂), а не напрямую из модели Дэвиса.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Проверка разметки по модели Дэвиса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Алгебраически вывел уравнение калиброванного BOLD-сигнала Дэвиса и провёл round-trip проверку против собственных функций репозитория DavisCMRO2RelChange / DavisCBFRelChange. Заодно нашёл реальный баг: DavisBOLD() в исходном репозитории содержит лишний множитель −1, который ломает согласованность round-trip — но grep подтверждает, что эта функция нигде не вызывается в ноутбуках анализа, то есть баг не затрагивает ни один опубликованный результат, ни разметку этого проекта. Задокументировано и покрыто тестом, а не тихо исправлено.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Восстановление производных данных, которых нет в текущем листинге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Публичный листинг ds004873 содержит только сырые данные (T1w, 8-эхо MESE, один task-all_bold на пациента) — ни CMRO₂, ни BOLD_percchange, ни participants.tsv. Более ранние снэпшоты того же CC0-датасета содержали полную папку derivatives/; S3 хранит это прежнее содержимое под «delete marker», а не стирает его. Обход истории версий (scripts/list_versions.py) и загрузка по ?versionId= позволили восстановить настоящие CMRO₂, BOLD_percchange, T1w в пространстве разметки, маски мозга, participants.tsv (Hct/O2sat) и events.tsv (тайминг задачи) для когорты, использованной во всём отчёте.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НАЙДЕННАЯ И ИСПРАВЛЕННАЯ ПРОБЛЕМА ЦЕЛОСТНОСТИ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 9 из 40 пациентов загрузка BOLD-файлов (~450–500 МБ) обрывалась на середине, а функция загрузки считала образовавшийся частичный файл «уже загруженным» при повторном запуске — это тихо испортило бы данные при повторе. Исправлено атомарной записью (временный файл, проверка размера, затем переименование) и повтором с задержкой; это вернуло эти 9 пациентов.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Охват когорты: 25 из 40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Причина исключения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37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Пояснение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Отмечены в participants.tsv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7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Поведенческие проблемы, контраст не дошёл до пациента, односторонние карты CBF/T2*, артефакты движения/восприимчивости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Отсутствует один файл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sub-p028/029/048/052/055 — один нужный файл отсутствует в истории версий, не ошибка загрузки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Другая схема именования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11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sub-p058–p068 используют T1w на весь объём головы (без предварительно вычлененного мозга) и именование CMRO₂ с CBV-коррекцией вместо desc-orig — более поздняя схема обработки, не адаптирована здесь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Использовано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25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Все результаты начиная с раздела 4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03 · ЭКСПЕРИМЕНТ 1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Только структура, 5 пациентов, 3 архитектуры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плану руководителя: небольшая 3D CNN на патче 9³ вокселей (~18×18×30 мм) вокруг каждого размеченного вокселя, обучение на одном полушарии и тест на другом (с отступом, чтобы ни один патч не пересекал границу разбиения) — и затем наоборот. Если точность оставалась около случайной, по плану следовало усложнять архитектуру, не трогая остальное.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SimplePatchCNN, 5 пациентов × контрасты calc/mem × оба направления разбиения — каждый столбец в пределах нескольких пунктов от случайного уровня (пунктир), далеко от целевого диапазона 0.65–0.70.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Эскалация по плану: DeeperPatchCNN (остаточные блоки) и AttentionPatchCNN (свёрточный энкодер + self-attention трансформер над пространственными токенами патча — адаптация U-Net с трансформером вроде модели сегментации FCD, изначально упомянутой в проекте, но без декодера, который классификатору не нужен).</w:t>
      </w:r>
    </w:p>
    <w:p>
      <w:pPr>
        <w:spacing w:after="60" w:before="160"/>
        <w:jc w:val="center"/>
      </w:pPr>
      <w:r>
        <w:drawing>
          <wp:inline distT="0" distB="0" distL="0" distR="0">
            <wp:extent cx="447675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Обе более глубокие модели попадают в тот же диапазон 0.47–0.55, что и простая CNN — всего 60 обучений на трёх архитектурах.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Три архитектуры возрастающей ёмкости, сходящиеся к одной и той же случайной цифре, говорят не в пользу «нужна модель побольше», а в пользу «нет сигнала в сыром патче 9³ T1 для этой метки при n=5».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04 · ЭКСПЕРИМЕНТ 2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Добавление обычного BOLD-сигнала задачи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шагу 2 плана руководителя: вместе со структурным патчем подаём собственный временной ряд BOLD каждого вокселя (без контрастного вещества, без DSC) — filtered_func, полностью предобработанный вывод FSL FEAT (коррекция движения, сглаживание, temporal high-pass фильтр уже применены), с детрендингом и z-нормализацией по вокселю. PatchBOLDNet: тот же свёрточный ствол для патча, 1D-свёрточный ствол по 400-точечному ряду, конкатенация перед классификатором.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5 пациентов × 2 контраста × 2 направления разбиения с добавленной BOLD-ветвью — среднее 0.516 (SD 0.017), без изменений относительно только структуры.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Добавление настоящего измеренного ответа задачи не восстановило сигнал, который уже не нашли три структурные архитектуры.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05 · МАСШТАБИРОВАНИЕ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Вся когорта, BOLD по условиям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Обучение ещё 25 независимых одно-пациентных CNN не даёт содержательного увеличения данных для модели, обучаемой с нуля каждый раз. Вместо этого: объединяем воксели всех доступных пациентов и обучаем одну модель на «полушарие A всех пациентов» против «полушарие B всех пациентов» (и наоборот) — по-прежнему без утечки, теперь и между пациентами тоже.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Также заменили сырой временной ряд Эксперимента 2 на признаки BOLD по условиям: % изменения сигнала во время блоков calc / mem / rest (с поправкой на гемодинамическую задержку — первые ~4с каждого блока отброшены), из events.tsv. «Rest» используется как замена условию «control» из остальной части конвейера — в блочном дизайне нет отдельной метки control, так что это предположение, а не установленный факт.</w:t>
      </w:r>
    </w:p>
    <w:p>
      <w:pPr>
        <w:spacing w:after="60" w:before="1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~12 500 объединённых вокселей на полушарие на контраст. Только структура: 0.494–0.528; + BOLD по условиям: 0.499–0.533. Увеличение выборки в 5 раз ничего не сдвинуло.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 · ЕЩЁ ДВА РЫЧАГА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Больший патч и регрессия на непрерывный CMRO₂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независимых изменения на той же когорте из 25 пациентов, запущенные вместе для прямой сравнимости: патч 15³ вокселей (~30×30×50 мм, масштаб «целой ROI», названный в плане руководителя как резервный вариант), и регрессия на непрерывное значение CMRO₂%change вместо бинаризации по знаку — строго более информативная цель, поскольку метка concordance отбрасывает величину изменения CMRO₂, сохраняя только совпадение направления с BOLD.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Слева: патчи 9³ и 15³, классификация — неотличимы. Справа: R² регрессии — на нуле или ниже нуля во всех условиях.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ОДНОЗНАЧНЫЙ ОТРИЦАТЕЛЬНЫЙ РЕЗУЛЬТАТ ПРОЕКТА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R² ≤ 0 везде (от −0.037 до −0.0002) — это более сильное утверждение, чем «точность на уровне случайности». Модель с действительно нулевым сигналом, но некоторой способностью к переобучению, обычно давала бы R² около нуля на отложенном полушарии. Устойчиво отрицательный R² означает, что то немногое, что модель «выучивает» на обучающем полушарии, активно не обобщается на другое — во всех 8 конфигурациях.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06B · КОВАРИАТЫ, РЕГИОНАЛИЗАЦИЯ, ОРАКУЛЬНЫЙ КОНТРОЛЬ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Ковариаты, грубая регионализация и оракульный положительный контроль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Три отдельных признаковых представления, все на PatchBOLDConditionNet, все на той же 25-пациентной объединённой когорте (патч 9³):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— возраст, Hct и пол из participants.tsv, добавлены как дополнительный вектор рядом со структурным патчем. Hct входит напрямую в формулу CMRO₂ по Фику, так что это законная, не притянутая ковариата, а не просто «больше входов ради входов».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Грубая регионализация — T1 среднее/std по крупным блокам передне-задний × нижне-верхний, отдельно на каждой стороне разбиения полушарий, чтобы ни один блок не пересекал границу train/test. Больше пространственного контекста, чем патч, но явно не анатомически осмысленный регион — честно заявлено как суррогат, не как атлас.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Оракульный положительный контроль — модели напрямую подаются настоящие значения BOLD_percchange и CMRO2_percchange, которые и определяют метку. Это не научный результат, а проверка конвейера: если модель способна обучиться хоть чему-то, когда ответ буквально подан на вход, она должна показать высокую точность.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Ковариаты и грубая регионализация — 0.48–0.53, тот же случайный уровень. Оракульный контроль — 0.73–0.74, ясно и однозначно отделён от всех настоящих экспериментов.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ПОЧЕМУ ОРАКУЛЬНЫЙ КОНТРОЛЬ — НЕ ЧИТЕРСТВО, А НЕОБХОДИМАЯ ПРОВЕРКА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Единственная цель этого прогона — убедиться, что весь конвейер обучения (не архитектура, не признаки, а именно код обучения/оценки) способен обнаружить сигнал, когда он точно есть. 0.73–0.74 пооуленно на 25 пациентах (против 0.956 на одном пациенте — вероятно, MLP-ветвь PatchBOLDConditionNet недообучается за 15 эпох на более разнородном объединённом наборе) — чётко отделено от 0.48–0.53 всех настоящих экспериментов. Это подтверждает: потолок в 0.5 — свойство данных/признаков, а не потолок самого конвейера.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06C · ЧЕТВЁРТАЯ АРХИТЕКТУРА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U-Net и дообучение с аугментацией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запроса руководителя в одном прогоне: переобучить в лучших условиях (не 15 фиксированных эпох без аугментации) и попробовать настоящий U-Net, а не ещё один классификатор с пулингом.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PatchUNet (src/model.py) — настоящий энкодер-декодер со skip-connections, апсемплинг через F.interpolate (устойчив к нечётным размерам патча вроде 15, в отличие от транспонированной свёртки). В отличие от всех остальных архитектур здесь, которые сжимают патч в вектор признаков до предсказания, U-Net предсказывает плотную карту по всему патчу и берёт логит классификации из центрального вокселя выхода декодера — именно того места, к которому относится метка. ~354 тыс. параметров.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Аугментация (случайные 3D-отражения, безопасны здесь, так как модель не видит абсолютную позицию) и косинусный график learning rate — оба теперь опциональные флаги в существующем цикле обучения.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25 эпох (было 15), патч 15³, ограничение 3000 вокселей на сторону для вычислимости — PatchUNet стоит ~в 12 раз дороже простой CNN за шаг.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Все 4 архитектуры (включая U-Net) на дообучении с аугментацией: 0.499–0.548 — тот же случайный диапазон, лучшая эпоха по всему прогону не превышает 0.548.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Четыре архитектурно различные модели (две CNN с пулингом, трансформер-гибрид и теперь skip-connected U-Net с принципиально другим индуктивным смещением — плотная реконструкция вместо глобального пулинга) сходятся к одному и тому же числу даже после более длительного и аугментированного обучения. Это сужает пространство объяснений: маловероятно, что дело в конкретной архитектуре или в недообучении.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06D · ПАРЦЕЛЛЯЦИЯ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Признаки на уровне данных-управляемой парцелляции (k-means)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Атлас Glasser/HCP-MMP остался недостижим (те же заблокированные хосты, локального FSL нет, поисковый инструмент GitHub в этой сессии ограничен одним подключённым репозиторием). Вместо фиксированной геометрической сетки — data-driven парцелляция: k-means (k=20) кластеризует собственные воксели мозга каждого пациента по (y, z, локальная интенсивность T1), отдельно на каждой стороне разбиения полушарий, так что ни один кластер не пересекает границу train/test. Границы кластеров следуют настоящей тканевой структуре этого конкретного пациента — стандартный подход для data-driven парцелляции при отсутствии группового атласа, но всё ещё не настоящий анатомический атлас (нет соответствия именованным регионам между пациентами) — заявлено как таковое, не выдано за большее.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Каждый размеченный воксель получает 3-признаковый дескриптор своего кластера (среднее T1, std T1, log-размер), поданный через PatchBOLDConditionNet.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k=20 кластеров на сторону: 0.502–0.523 — снова случайный уровень, почти точно совпадает с версией на фиксированной сетке.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06E · ЗАВЕРШЕНИЕ КОГОРТЫ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охват когорты: 39 из 40 пациентов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Разделы 3–7 выше используют 25-пациентную подкогорту — все прогоны до этого момента молча пропускали 11 пациентов (sub-p058…sub-p068), у которых другая схема именования производных файлов: T1w на весь объём головы вместо предварительно вычлененного мозга, BrMsk_CSF.nii вместо _30slices-варианта, desc-CBV_cmro2 вместо desc-orig_cmro2 для условия задачи (это не самодеятельность — то же смешение orig/CBV встречается в собственном combined_pipeline.py исходного репозитория). Новый загрузчик (src/subject_loader.py) пробует обе схемы именования по очереди и открыто фиксирует, какой запасной вариант использован для каждого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Итог: 39 из 40 пациентов дают хотя бы один рабочий контраст (только sub-p058 действительно не восстановим — у него нет condition-CMRO₂ ни в одной версии из истории S3, проверено напрямую по списку файлов, а не предположено). У всех 9 новых пациентов есть только контраст calc — у них никогда не было производных для mem ни в одной версии датасета, поэтому контраст mem остаётся на 25–30 пациентах.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Только структура (SimplePatchCNN, патч 9³) на полном охвате: calc — 37 пациентов, 18 500 вокселей/сторону (было 25 и 12 500); mem — 30 пациентов, 15 000 вокселей/сторону. 0.499–0.526 — тот же случайный уровень.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РОСТ КОГОРТЫ В 1.5 РАЗА ДЛЯ CALC НИЧЕГО НЕ СДВИНУЛ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37 пациентов вместо 25 (+48%), 18 500 объединённых вокселей на сторону вместо 12 500 — а точность (0.499–0.513) не отличима от версии на 25 пациентах (0.494–0.528). Это закрывает последний из «дешёвых» вопросов о размере выборки: увеличение реальных данных, доступных без новой инфраструктуры, не восстанавливает сигнал ни при каком из испытанных масштабов когорты (5 → 25 → 37 пациентов).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06F · ПРЕДОБУЧЕННЫЙ BACKBONE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Предобученный MedicalNet ResNet50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Единственный архитектурный рычаг, ранее заявленный как заблокированный: 3D-МРТ backbone, предобученный на настоящих внешних данных, а не ещё одна архитектура с нуля на том же небольшом пуле. Официальные веса Tencent/MedicalNet лежат на Google Drive/Baidu Pan/Hugging Face/Zenodo — все эти хосты подтверждённо заблокированы политикой сети этой сессии (проверено напрямую: явный policy denial, а не «сайт недоступен»). Пользователь самостоятельно получил файл весов (`resnet_50_23dataset.pth`, Med3D, Chen et al. 2019, предобучен на корпусе из 23 датасетов 3D-сегментации, 46.2М параметров) и разместил его как GitHub release asset в собственном репозитории — этот хост сессии доступен.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ПРОВЕРЕНО ПЕРЕД ЗАГРУЗКОЙ, А НЕ ПРОСТО НА СЛОВО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Заголовок файла побайтово совпадает с документированным устаревшим форматом torch.save; статическое сканирование pickle-опкодов (pickletools.genops — только читает опкоды, ничего не выполняет) нашло исключительно ожидаемые вызовы torch/collections для восстановления тензоров, никаких подозрительных обращений; загрузка через безопасный по умолчанию режим torch.load (weights_only=True, ограниченный unpickler), не через небезопасный. Архитектура (src/medicalnet_resnet.py) воспроизведена по официальному коду и state_dict чекпоинта загружается с точным совпадением ключей (strict=True) — не «похожая», а буквально та же структура.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Подход: заморожен ствол сети (только извлечение признаков — цель проверить, полезны ли уже выученные Med3D общие признаки 3D-медицинских изображений для этой метки, а не переобучать их заново; также единственный вычислительно посильный на CPU способ распорядиться 46М-параметрной моделью) + небольшая обучаемая MLP-голова на 2048-мерных признаках после глобального пулинга. Патч 25³ — у этого backbone понижение разрешения дилатацией, а не strided-свёрткой (~8×, не привычные 32×), поэтому патч 25 оставляет карту признаков 4×4×4 перед пулингом, а патчи 9/15 схлопнулись бы до 2×2×2. Прогон на полной доступной когорте.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10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calc — 37 пациентов, 11 100 вокселей/сторону; mem — 30 пациентов, 9 000 вокселей/сторону: 0.504–0.523 — снова случайный уровень, неотличимо от всех архитектур, обученных с нуля.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BACKBONE С ВНЕШНИМИ ДАННЫМИ НЕ ДАЁТ БОЛЬШЕ, ЧЕМ ОБУЧЕНИЕ С НУЛЯ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Это закрывает последнее из открытых архитектурных направлений: гипотезу «модели просто не хватало общего опыта на 3D-медицинских изображениях» — предобученная на 23 датасетах сеть, которая заведомо видела на порядки больше объёмных медицинских снимков, чем есть в этой задаче, не дала никакого преимущества перед моделью, обученной полностью с нуля. Потолок не в архитектуре и не в объёме предварительного опыта модели — он в том, что в структурном (и BOLD-) окружении вокселя для этой метки, судя по всему, просто нет сигнала на испытанных масштабах.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06G · ФИЗИОЛОГИЧЕСКАЯ СТРУКТУРА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Базовые карты CBF/OEF: физиология, а не анатомия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T1-интенсивность отражает состав ткани (миелин, вода, макромолекулы) — она не кодирует напрямую те физиологические величины, которые механически определяют, движутся ли BOLD и CMRO₂ вместе или в противоположные стороны (базовая перфузия, базовая фракция экстракции кислорода). Эти величины оказались уже в самом датасете, просто не использованными: карты `sub-*_task-control_space-T2_cbf.nii` и `..._oef.nii` — те самые базовые CBF/OEF, из которых исходный конвейер вычислял CMRO₂ по принципу Фика (CMRO₂ = CBF × OEF × CaO₂). Восстановлены той же историей версий S3, что и всё остальное — никакого внешнего хоста.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ПРОВЕРКА НА НЕЦИКЛИЧНОСТЬ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Использованы только значения CBF/OEF в состоянии покоя (control), никогда — на задаче. Метка определена изменением между задачей и покоем, так что одно только базовое значение не входит в эту формулу алгебраически. Это законный физиологический признак, а не переформулировка ответа.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scripts/run_cbf_oef.py извлекает 3-канальный патч (T1 + базовый CBF + базовый OEF, каждый нормализован независимо — их физические единицы и масштабы несравнимы) и обучает ту же SimplePatchCNN(in_channels=3), напрямую сравнивая с той же архитектурой на одних только T1-патчах — на идентичных вокселях.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T1-only: 0.502–0.522; T1+базовые CBF/OEF: 0.507–0.516 — диапазоны перекрываются, значимого отрыва нет, оба на уровне случайности.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ФИЗИОЛОГИЯ, ЛЕЖАЩАЯ В ОСНОВЕ САМОЙ МЕТКИ, НЕ ПОМОГАЕТ КАК ЛОКАЛЬНЫЙ СНИМОК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CBF и OEF — не ещё один взгляд на анатомию, это именно те величины, из которых состоит формула CMRO₂. То, что даже они не дают отрыва от случайного уровня, будучи поданы как статичный локальный патч вокруг вокселя, — сильный намёк, что дело не в «недостаточно правильной карте», а в масштабе: возможно, нужна не статика в покое, а динамика самого ответа на нагрузку, либо принадлежность вокселя к определённой анатомической области целиком, а не его локальное окружение.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07 · СПРАВОЧНО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реестр результатов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Все числа классификации и регрессии, стоящие за графиками выше.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только структура, 5 пациентов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более глубокие архитектуры (среднее по обоим направлениям)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DeeperPatchCNN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AttentionPatchCNN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всем 20 прогонам: DeeperPatchCNN 0.513 (SD 0.020), AttentionPatchCNN 0.506 (SD 0.013).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2 — структура + сырой BOLD (PatchBOLDNet)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sub-p019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sub-p021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sub-p026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Объединённая когорта,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Только структура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+ BOLD по условиям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Больший патч и регрессия,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200"/>
        <w:gridCol w:w="1680"/>
        <w:gridCol w:w="1680"/>
        <w:gridCol w:w="16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Патч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Точн. классиф.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R² регрессии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Корр.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−0.007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−0.013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0.005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Ковариаты / грубая регионализация / оракульный контроль,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75"/>
        <w:gridCol w:w="1575"/>
        <w:gridCol w:w="1575"/>
        <w:gridCol w:w="1575"/>
      </w:tblGrid>
      <w:tr>
        <w:trPr>
          <w:tblHeader/>
        </w:trPr>
        <w:tc>
          <w:tcPr>
            <w:tcW w:type="dxa" w:w="30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Ковариаты (возраст/Hct/пол)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Грубая регионализация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0.497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Оракульный контроль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U-Net и дообучение (аугментация + косинусный LR + 25 эпох, патч 15),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Simple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PatchUNet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Значения — точность на последней эпохе; максимум по эпохам во всём прогоне — 0.548 (mem, A→B, PatchUNet).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Data-driven парцелляция (k-means, k=20),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Полный охват когорты, только структура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1900"/>
        <w:gridCol w:w="2000"/>
      </w:tblGrid>
      <w:tr>
        <w:trPr>
          <w:tblHeader/>
        </w:trPr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9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0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0.526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Предобученный MedicalNet ResNet50 (заморожен) + MLP-голова, патч 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60"/>
        <w:gridCol w:w="1560"/>
        <w:gridCol w:w="2220"/>
        <w:gridCol w:w="2220"/>
      </w:tblGrid>
      <w:tr>
        <w:trPr>
          <w:tblHeader/>
        </w:trPr>
        <w:tc>
          <w:tcPr>
            <w:tcW w:type="dxa" w:w="18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Финальная точн.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Лучшая по эпохам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Базовые CBF/OEF: T1-only против T1+физиология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T1+CBF/OEF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08 · ДАЛЬНЕЙШИЕ ШАГИ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Пути к настоящим 0.65–0.70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Ни один пункт из списка ниже не гарантирует результат — именно это и означает хорошо проверенный отрицательный результат на 148 прогонах. С прошлой версии этого отчёта все ранее открытые направления, включая те, что были помечены как заблокированные, уже испытаны и дали тот же случайный результат — см. разделы 06b–06g. Осталось честно не испытанным то, что либо требует внешнего доступа, которого нет в этой сессии, либо меняет саму постановку задачи.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Уже испытано с момента прошлой версии отчёта (для полноты)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(возраст/Hct/пол) — 0.480–0.531, случайный уровень (раздел 06b).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Ещё одна архитектура: настоящий U-Net со skip-connections, плюс дообучение с аугментацией и косинусным LR на всех 4 архитектурах — 0.499–0.548, случайный уровень (раздел 06c).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Data-driven парцелляция (k-means по T1-интенсивности) как суррогат недостижимого атласа Glasser — 0.502–0.523, случайный уровень (раздел 06d).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Полный охват когорты (39 из 40 пациентов вместо 25) — 0.499–0.526, случайный уровень (раздел 06e).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Предобученный на внешних данных 3D-backbone (MedicalNet ResNet50, 46.2М параметров, дообученная MLP-голова) — 0.504–0.523, случайный уровень (раздел 06f). Официальные веса были заблокированы (Google Drive/Hugging Face/Zenodo), но пользователь предоставил их через собственный GitHub-репозиторий — это единственный пункт из списка, который удалось разблокировать.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Базовые (в состоянии покоя) карты CBF/OEF вместо T1-интенсивности — настоящая физиология, а не анатомия, найдена прямо в самом датасете. T1-only 0.502–0.522 против T1+CBF/OEF 0.507–0.516 — диапазоны перекрываются, отрыва нет (раздел 06g).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Осталось по-настоящему заблокированным или непроверенным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Настоящая анатомическая парцелляция (Glasser/HCP-MMP). Data-driven k-means-версия (раздел 06d) — честный суррогат, но не то же самое: нет соответствия именованным регионам между пациентами и нет анатомического приора. Проверено напрямую: ни атласа, ни файла парцелляции нет нигде в собственных derivatives этого датасета (не только на заблокированных внешних хостах) — здесь физически нет короткого пути в духе весов MedicalNet или карт CBF/OEF.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Динамическая, а не статическая физиология: изменение CBF/OEF во время задачи (не базовое значение в покое). Раздел 06g проверил только физиологический «фон» — реакция сосудов на нагрузку (та величина, что механически и определяет знак BOLD/CMRO₂) до сих пор не подавалась модели как признак; технически не заблокировано, но это ещё не запущенный эксперимент, а не подтверждённый тупик.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Другой масштаб анализа. Групповая статистика по пациентам (а не предсказание по вокселю внутри одного пациента) — качественно другая постановка, не проверенная здесь ни разу; не заблокирована технически, но это уже не «ещё один прогон на тех же данных», а смена самого вопроса.</w:t>
      </w:r>
    </w:p>
    <w:p>
      <w:pPr>
        <w:spacing w:after="80"/>
      </w:pPr>
    </w:p>
    <w:tbl>
      <w:tblPr>
        <w:tblW w:type="pct" w:w="100%"/>
        <w:tblBorders>
          <w:top w:val="dashed" w:color="A6403A" w:sz="6"/>
          <w:left w:val="dashed" w:color="A6403A" w:sz="6"/>
          <w:bottom w:val="dashed" w:color="A6403A" w:sz="6"/>
          <w:right w:val="dashed" w:color="A6403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4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8"/>
                <w:szCs w:val="18"/>
              </w:rPr>
              <w:t xml:space="preserve">ЧТО СДВИНУЛО БЫ ЦИФРУ, НЕ БУДУЧИ РЕАЛЬНЫМ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Публикация лучшего результата из многих прогонов. При 148 прогонах вокруг 0.48–0.55 несколько случайных попаданий в 0.60+ статистически ожидаемы, а не находка — выбрать один из них означает свести на нет саму цель схемы с честным разбиением и повторами.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Уменьшение отступа между обучающим и тестовым полушариями. Весь смысл отступа — не дать патчу с одной стороны пересекаться с патчем с другой; меньший отступ поднимет точность за счёт утечки сходства соседних вокселей, а не за счёт найденной структуры.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Оценка на обучающих вокселях, либо использование тестовых вокселей для выбора модели/эпохи. И то, и другое превращает отложенную выборку в данные, близкие к обучающим.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Подача самого CMRO₂ или BOLD_percchange в модель как признака за пределами осознанного, раскрытого случая из Эксперимента 2 (настоящий измеренный BOLD, который всё равно требует независимого предсказания стороны CMRO₂) — что-либо ближе к самой метке означает решение по ключу ответов.</w:t>
            </w:r>
          </w:p>
        </w:tc>
      </w:tr>
    </w:tbl>
    <w:p>
      <w:pPr>
        <w:spacing w:after="280"/>
      </w:pPr>
    </w:p>
    <w:p>
      <w:pPr>
        <w:pBdr>
          <w:top w:val="single" w:color="DFDCD3" w:sz="4"/>
        </w:pBdr>
        <w:spacing w:before="200"/>
      </w:pPr>
      <w:r>
        <w:rPr>
          <w:rFonts w:ascii="PT Sans" w:cs="PT Sans" w:eastAsia="PT Sans" w:hAnsi="PT Sans"/>
          <w:color w:val="7B8290"/>
          <w:sz w:val="16"/>
          <w:szCs w:val="16"/>
        </w:rPr>
        <w:t xml:space="preserve">Ветка claude/patient-structural-classification-cfvl3k · полный код, тесты и результаты каждого прогона — в репозитории. Составлено на основе 148 реальных обучений на метках, полученных из данных OpenNeuro с лицензией CC0.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574f7e594fe0036c1f0dbcc9aecc74f33f25e4.png"/><Relationship Id="rId8" Type="http://schemas.openxmlformats.org/officeDocument/2006/relationships/image" Target="media/9623f7438a99cf7dc603112ca399c762dbcdaafe.png"/><Relationship Id="rId9" Type="http://schemas.openxmlformats.org/officeDocument/2006/relationships/image" Target="media/6ce9f790247d1f8414c0534b4c02540031350454.png"/><Relationship Id="rId10" Type="http://schemas.openxmlformats.org/officeDocument/2006/relationships/image" Target="media/f5dafb9a47cc70ee8187d07e99aa1c0043724b34.png"/><Relationship Id="rId11" Type="http://schemas.openxmlformats.org/officeDocument/2006/relationships/image" Target="media/d4049f904705ea310d15327ccda903e5cbeeba0b.png"/><Relationship Id="rId12" Type="http://schemas.openxmlformats.org/officeDocument/2006/relationships/image" Target="media/e15112362c852b46060752f1de4d8895c905b032.png"/><Relationship Id="rId13" Type="http://schemas.openxmlformats.org/officeDocument/2006/relationships/image" Target="media/a905d707c15fda27fe6a343570ee5f2d5d8cd4c2.png"/><Relationship Id="rId14" Type="http://schemas.openxmlformats.org/officeDocument/2006/relationships/image" Target="media/352944d92f0fce203358a762cbb24c67a47965d9.png"/><Relationship Id="rId15" Type="http://schemas.openxmlformats.org/officeDocument/2006/relationships/image" Target="media/bcf89744c9f5af12abdb84ea342781b40f2b0dcf.png"/><Relationship Id="rId16" Type="http://schemas.openxmlformats.org/officeDocument/2006/relationships/image" Target="media/b489e0700f7757119f51994b7b5cabea537b02f6.png"/><Relationship Id="rId17" Type="http://schemas.openxmlformats.org/officeDocument/2006/relationships/image" Target="media/286101c27bb51c86be85ac837a9b14aa3de82ce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2026-09-07T07:18:27.965Z</dcterms:created>
  <dcterms:modified xsi:type="dcterms:W3CDTF">2026-09-07T07:18:27.979Z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