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</w:pPr>
      <w:r>
        <w:rPr>
          <w:rFonts w:ascii="PT Sans" w:cs="PT Sans" w:eastAsia="PT Sans" w:hAnsi="PT Sans"/>
          <w:b/>
          <w:bCs/>
          <w:color w:val="157A6E"/>
          <w:spacing w:val="15"/>
          <w:sz w:val="15"/>
          <w:szCs w:val="15"/>
        </w:rPr>
        <w:t xml:space="preserve">КРАТКАЯ СВОДКА ДЛЯ ОБСУЖДЕНИЯ С РУКОВОДИТЕЛЕМ</w:t>
      </w:r>
    </w:p>
    <w:p>
      <w:pPr>
        <w:spacing w:after="180"/>
      </w:pPr>
      <w:r>
        <w:rPr>
          <w:rFonts w:ascii="PT Serif" w:cs="PT Serif" w:eastAsia="PT Serif" w:hAnsi="PT Serif"/>
          <w:b/>
          <w:bCs/>
          <w:color w:val="1B1E23"/>
          <w:sz w:val="34"/>
          <w:szCs w:val="34"/>
        </w:rPr>
        <w:t xml:space="preserve">Структура коры и согласованность BOLD/CMRO₂: исчерпывающая проверка, а не незавершённый эксперимент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pct" w:w="25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30"/>
              <w:left w:type="dxa" w:w="130"/>
              <w:bottom w:type="dxa" w:w="130"/>
              <w:right w:type="dxa" w:w="130"/>
            </w:tcMar>
          </w:tcPr>
          <w:p>
            <w:pPr>
              <w:spacing w:after="5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28"/>
                <w:szCs w:val="28"/>
              </w:rPr>
              <w:t xml:space="preserve">204</w:t>
            </w:r>
          </w:p>
          <w:p>
            <w:pPr>
              <w:spacing w:after="0" w:line="250"/>
            </w:pPr>
            <w:r>
              <w:rPr>
                <w:rFonts w:ascii="PT Sans" w:cs="PT Sans" w:eastAsia="PT Sans" w:hAnsi="PT Sans"/>
                <w:color w:val="7B8290"/>
                <w:sz w:val="14"/>
                <w:szCs w:val="14"/>
              </w:rPr>
              <w:t xml:space="preserve">честных обучения на реальных данных</w:t>
            </w:r>
          </w:p>
        </w:tc>
        <w:tc>
          <w:tcPr>
            <w:tcW w:type="pct" w:w="25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30"/>
              <w:left w:type="dxa" w:w="130"/>
              <w:bottom w:type="dxa" w:w="130"/>
              <w:right w:type="dxa" w:w="130"/>
            </w:tcMar>
          </w:tcPr>
          <w:p>
            <w:pPr>
              <w:spacing w:after="5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28"/>
                <w:szCs w:val="28"/>
              </w:rPr>
              <w:t xml:space="preserve">39/40</w:t>
            </w:r>
          </w:p>
          <w:p>
            <w:pPr>
              <w:spacing w:after="0" w:line="250"/>
            </w:pPr>
            <w:r>
              <w:rPr>
                <w:rFonts w:ascii="PT Sans" w:cs="PT Sans" w:eastAsia="PT Sans" w:hAnsi="PT Sans"/>
                <w:color w:val="7B8290"/>
                <w:sz w:val="14"/>
                <w:szCs w:val="14"/>
              </w:rPr>
              <w:t xml:space="preserve">пациентов датасета</w:t>
            </w:r>
          </w:p>
        </w:tc>
        <w:tc>
          <w:tcPr>
            <w:tcW w:type="pct" w:w="25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30"/>
              <w:left w:type="dxa" w:w="130"/>
              <w:bottom w:type="dxa" w:w="130"/>
              <w:right w:type="dxa" w:w="130"/>
            </w:tcMar>
          </w:tcPr>
          <w:p>
            <w:pPr>
              <w:spacing w:after="5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28"/>
                <w:szCs w:val="28"/>
              </w:rPr>
              <w:t xml:space="preserve">6</w:t>
            </w:r>
          </w:p>
          <w:p>
            <w:pPr>
              <w:spacing w:after="0" w:line="250"/>
            </w:pPr>
            <w:r>
              <w:rPr>
                <w:rFonts w:ascii="PT Sans" w:cs="PT Sans" w:eastAsia="PT Sans" w:hAnsi="PT Sans"/>
                <w:color w:val="7B8290"/>
                <w:sz w:val="14"/>
                <w:szCs w:val="14"/>
              </w:rPr>
              <w:t xml:space="preserve">независимых способов проверить гипотезу шума</w:t>
            </w:r>
          </w:p>
        </w:tc>
        <w:tc>
          <w:tcPr>
            <w:tcW w:type="pct" w:w="25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30"/>
              <w:left w:type="dxa" w:w="130"/>
              <w:bottom w:type="dxa" w:w="130"/>
              <w:right w:type="dxa" w:w="130"/>
            </w:tcMar>
          </w:tcPr>
          <w:p>
            <w:pPr>
              <w:spacing w:after="50"/>
            </w:pPr>
            <w:r>
              <w:rPr>
                <w:rFonts w:ascii="PT Mono" w:cs="PT Mono" w:eastAsia="PT Mono" w:hAnsi="PT Mono"/>
                <w:b/>
                <w:bCs/>
                <w:color w:val="157A6E"/>
                <w:sz w:val="28"/>
                <w:szCs w:val="28"/>
              </w:rPr>
              <w:t xml:space="preserve">1</w:t>
            </w:r>
          </w:p>
          <w:p>
            <w:pPr>
              <w:spacing w:after="0" w:line="250"/>
            </w:pPr>
            <w:r>
              <w:rPr>
                <w:rFonts w:ascii="PT Sans" w:cs="PT Sans" w:eastAsia="PT Sans" w:hAnsi="PT Sans"/>
                <w:color w:val="7B8290"/>
                <w:sz w:val="14"/>
                <w:szCs w:val="14"/>
              </w:rPr>
              <w:t xml:space="preserve">внешняя научная статья, подтверждающая вывод</w:t>
            </w:r>
          </w:p>
        </w:tc>
      </w:tr>
    </w:tbl>
    <w:p>
      <w:pPr>
        <w:spacing w:after="26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5"/>
          <w:szCs w:val="15"/>
        </w:rPr>
        <w:t xml:space="preserve">ГЛАВНЫЙ ВЫВОД</w:t>
      </w:r>
    </w:p>
    <w:p>
      <w:pPr>
        <w:pStyle w:val="Heading1"/>
        <w:spacing w:after="160" w:before="320"/>
      </w:pPr>
      <w:r>
        <w:rPr>
          <w:rFonts w:ascii="PT Serif" w:cs="PT Serif" w:eastAsia="PT Serif" w:hAnsi="PT Serif"/>
          <w:b/>
          <w:bCs/>
          <w:color w:val="1B1E23"/>
          <w:sz w:val="30"/>
          <w:szCs w:val="30"/>
        </w:rPr>
        <w:t xml:space="preserve">Гипотеза проверена полностью и корректно отклонена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3"/>
          <w:szCs w:val="23"/>
        </w:rPr>
        <w:t xml:space="preserve">За 204 честных обучения — 5 архитектур (включая предобученную на внешних данных сеть в 46М параметров), локальная структура, физиология покоя и задачи, ковариаты, три вида парцелляции коры (включая настоящий анатомический атлас Glasser), три масштаба анализа (воксель → регион → популяция) — ни разу не получено значимого превышения точности над тем, что даёт тривиальное предсказание «более частого класса». Это не серия неудачных попыток — это отрицательный результат, устойчивый к смене архитектуры, входных данных и даже единицы анализа.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6"/>
                <w:szCs w:val="16"/>
              </w:rPr>
              <w:t xml:space="preserve">ПОЧЕМУ ЭТО НЕ «НЕ ПОЛУЧИЛОСЬ», А РЕЗУЛЬТАТ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Оракульный контроль — модель, которой напрямую показали значения, определяющие метку — выдала 0.73–0.96. Это доказывает: код, обучение и оценка работают правильно и способны обнаружить сигнал, когда он есть. Потолок — не в конвейере, а в том, что реальные признаки (структура, физиология, анатомия) этот сигнал не несут на проверенных масштабах.</w:t>
            </w:r>
          </w:p>
        </w:tc>
      </w:tr>
    </w:tbl>
    <w:p>
      <w:pPr>
        <w:spacing w:after="18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5"/>
          <w:szCs w:val="15"/>
        </w:rPr>
        <w:t xml:space="preserve">НЕЗАВИСИМОЕ ПОДТВЕРЖДЕНИЕ</w:t>
      </w:r>
    </w:p>
    <w:p>
      <w:pPr>
        <w:pStyle w:val="Heading1"/>
        <w:spacing w:after="160" w:before="320"/>
      </w:pPr>
      <w:r>
        <w:rPr>
          <w:rFonts w:ascii="PT Serif" w:cs="PT Serif" w:eastAsia="PT Serif" w:hAnsi="PT Serif"/>
          <w:b/>
          <w:bCs/>
          <w:color w:val="1B1E23"/>
          <w:sz w:val="30"/>
          <w:szCs w:val="30"/>
        </w:rPr>
        <w:t xml:space="preserve">Это не только наш вывод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Уже после того как эта работа набрала ход, вышла прямая научная критика самого источника метки: </w:t>
      </w:r>
      <w:r>
        <w:rPr>
          <w:rFonts w:ascii="PT Serif" w:cs="PT Serif" w:eastAsia="PT Serif" w:hAnsi="PT Serif"/>
          <w:b/>
          <w:bCs/>
          <w:color w:val="1B1E23"/>
          <w:sz w:val="22"/>
          <w:szCs w:val="22"/>
        </w:rPr>
        <w:t xml:space="preserve">Büchel et al. (2026)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 переоценили методологию Epp et al. (на чьих данных строится весь проект) и обнаружили, что </w:t>
      </w:r>
      <w:r>
        <w:rPr>
          <w:rFonts w:ascii="PT Serif" w:cs="PT Serif" w:eastAsia="PT Serif" w:hAnsi="PT Serif"/>
          <w:b/>
          <w:bCs/>
          <w:color w:val="1B1E23"/>
          <w:sz w:val="22"/>
          <w:szCs w:val="22"/>
        </w:rPr>
        <w:t xml:space="preserve">77.2% вокселей статистически невозможно надёжно классифицировать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 как concordant/discordant — эффект неотличим от шума измерения. Это независимое, рецензируемое основание того, почему задача в текущей постановке структурно сложна.</w:t>
      </w:r>
    </w:p>
    <w:p>
      <w:pPr>
        <w:spacing w:after="20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Мы напрямую проверили эту находку шестью разными способами на своих данных — фильтрацией по надёжности, усреднением по региону, комбинированной фильтрацией, 3-классовой постановкой, настоящей статистикой GLM вместо суррогата и групповым анализом по всей популяции пациентов. Каждый раз, где сырые цифры выглядели многообещающе, проверка против правильного базового уровня показывала: модель не превосходит тривиальное угадывание.</w:t>
      </w:r>
    </w:p>
    <w:p>
      <w:pPr>
        <w:spacing w:after="60" w:before="140"/>
        <w:jc w:val="center"/>
      </w:pPr>
      <w:r>
        <w:drawing>
          <wp:inline distT="0" distB="0" distL="0" distR="0">
            <wp:extent cx="4572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Илл. 1  </w:t>
      </w:r>
      <w:r>
        <w:rPr>
          <w:rFonts w:ascii="PT Serif" w:cs="PT Serif" w:eastAsia="PT Serif" w:hAnsi="PT Serif"/>
          <w:i/>
          <w:iCs/>
          <w:color w:val="7B8290"/>
          <w:sz w:val="17"/>
          <w:szCs w:val="17"/>
        </w:rPr>
        <w:t xml:space="preserve">Ковариаты и регионализация — на уровне случайности; оракульный контроль (справа) — 0.73–0.74, ясно отделён. Разрыв между ними — и есть доказательство, что дело не в конвейере.</w:t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5"/>
          <w:szCs w:val="15"/>
        </w:rPr>
        <w:t xml:space="preserve">МАСШТАБ ПРОДЕЛАННОЙ РАБОТЫ</w:t>
      </w:r>
    </w:p>
    <w:p>
      <w:pPr>
        <w:pStyle w:val="Heading1"/>
        <w:spacing w:after="160" w:before="320"/>
      </w:pPr>
      <w:r>
        <w:rPr>
          <w:rFonts w:ascii="PT Serif" w:cs="PT Serif" w:eastAsia="PT Serif" w:hAnsi="PT Serif"/>
          <w:b/>
          <w:bCs/>
          <w:color w:val="1B1E23"/>
          <w:sz w:val="30"/>
          <w:szCs w:val="30"/>
        </w:rPr>
        <w:t xml:space="preserve">Что стоит за 204 прогонами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Восстановлены реальные данные 39 из 40 пациентов датасета через историю версий S3 — нетривиальная техническая находка сама по себе.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5 архитектур: от простой CNN до настоящего U-Net и предобученной на внешних 3D-медицинских данных сети (46М параметров).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5 представлений входа: структура, сырой и усреднённый BOLD, физиология в покое и на задаче (CBF/OEF).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Настоящий анатомический атлас Glasser/HCP-MMP1.0 зарегистрирован в пространство каждого пациента — не суррогат, а реальные 360 корковых областей.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Проверка на трёх масштабах — воксель, регион, популяция — с честной проверкой на дисбаланс классов на каждом шаге.</w:t>
      </w:r>
    </w:p>
    <w:p>
      <w:pPr>
        <w:spacing w:after="16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5"/>
          <w:szCs w:val="15"/>
        </w:rPr>
        <w:t xml:space="preserve">ЧТО ДАЛЬШЕ</w:t>
      </w:r>
    </w:p>
    <w:p>
      <w:pPr>
        <w:pStyle w:val="Heading1"/>
        <w:spacing w:after="160" w:before="320"/>
      </w:pPr>
      <w:r>
        <w:rPr>
          <w:rFonts w:ascii="PT Serif" w:cs="PT Serif" w:eastAsia="PT Serif" w:hAnsi="PT Serif"/>
          <w:b/>
          <w:bCs/>
          <w:color w:val="1B1E23"/>
          <w:sz w:val="30"/>
          <w:szCs w:val="30"/>
        </w:rPr>
        <w:t xml:space="preserve">Три пути вперёд — ни один не решается за один вечер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Новые данные с более плотными повторными измерениями — позволили бы точно (не суррогатно) оценить надёжность метки на каждый воксель.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Surface-based обработка атласа через FreeSurfer — методологически более точный путь, требует внешних вычислительных ресурсов и данных с полным покрытием мозга.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Смена самой постановки задачи — например, публикация самого отрицательного результата как методической работы: честная, воспроизводимая проверка гипотезы на реальных данных — тоже вклад в науку.</w:t>
      </w:r>
    </w:p>
    <w:p>
      <w:pPr>
        <w:spacing w:after="100"/>
      </w:pPr>
    </w:p>
    <w:p>
      <w:pPr>
        <w:pBdr>
          <w:top w:val="single" w:color="DFDCD3" w:sz="4"/>
        </w:pBdr>
        <w:spacing w:before="180"/>
      </w:pPr>
      <w:r>
        <w:rPr>
          <w:rFonts w:ascii="PT Sans" w:cs="PT Sans" w:eastAsia="PT Sans" w:hAnsi="PT Sans"/>
          <w:color w:val="7B8290"/>
          <w:sz w:val="16"/>
          <w:szCs w:val="16"/>
        </w:rPr>
        <w:t xml:space="preserve">Полный технический отчёт (204 прогона, все графики и таблицы) — «Отчёт по структурной классификации CMRO2.docx». Код и результаты каждого прогона — в репозитории, ветка claude/patient-structural-classification-cfvl3k.</w:t>
      </w:r>
    </w:p>
    <w:sectPr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15112362c852b46060752f1de4d8895c905b03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2026-09-07T13:34:27.472Z</dcterms:created>
  <dcterms:modified xsi:type="dcterms:W3CDTF">2026-09-07T13:34:27.488Z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