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00" w:rsidRDefault="00B92C00" w:rsidP="0092576A">
      <w:pPr>
        <w:ind w:firstLine="550"/>
        <w:jc w:val="right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>МПК</w:t>
      </w:r>
      <w:r w:rsidRPr="0052355C"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 xml:space="preserve">(определяется </w:t>
      </w:r>
      <w:r>
        <w:rPr>
          <w:rFonts w:ascii="Times New Roman" w:hAnsi="Times New Roman"/>
          <w:sz w:val="28"/>
          <w:szCs w:val="28"/>
        </w:rPr>
        <w:t>самостоятельно)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9900AE" w:rsidRDefault="00B92C00" w:rsidP="0092576A">
      <w:pPr>
        <w:ind w:firstLine="550"/>
        <w:jc w:val="center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>НАЗВАНИЕ ИЗОБРЕТЕНИЯ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9900AE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proofErr w:type="gramStart"/>
      <w:r w:rsidRPr="009900AE">
        <w:rPr>
          <w:rFonts w:ascii="Times New Roman" w:hAnsi="Times New Roman"/>
          <w:sz w:val="28"/>
          <w:szCs w:val="28"/>
        </w:rPr>
        <w:t>Настоящее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изобретение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относится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(указывается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область техники, например, к области машиностроения)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End"/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</w:p>
    <w:p w:rsidR="00B92C00" w:rsidRPr="00EA2782" w:rsidRDefault="00B92C00" w:rsidP="00B92C00">
      <w:pPr>
        <w:ind w:firstLine="55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У</w:t>
      </w:r>
      <w:r w:rsidRPr="00EA2782">
        <w:rPr>
          <w:rFonts w:ascii="Times New Roman" w:hAnsi="Times New Roman"/>
          <w:i/>
          <w:sz w:val="28"/>
          <w:szCs w:val="28"/>
        </w:rPr>
        <w:t>ровень техники. В этом разделе приводятся сведения об аналогах и прототипе и их критика</w:t>
      </w:r>
      <w:bookmarkStart w:id="0" w:name="_GoBack"/>
      <w:bookmarkEnd w:id="0"/>
    </w:p>
    <w:p w:rsidR="00B92C00" w:rsidRPr="009900AE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 xml:space="preserve">Из существующего уровня </w:t>
      </w:r>
      <w:r>
        <w:rPr>
          <w:rFonts w:ascii="Times New Roman" w:hAnsi="Times New Roman"/>
          <w:sz w:val="28"/>
          <w:szCs w:val="28"/>
        </w:rPr>
        <w:t xml:space="preserve">техники известен </w:t>
      </w:r>
      <w:r w:rsidRPr="009900AE">
        <w:rPr>
          <w:rFonts w:ascii="Times New Roman" w:hAnsi="Times New Roman"/>
          <w:sz w:val="28"/>
          <w:szCs w:val="28"/>
        </w:rPr>
        <w:t xml:space="preserve">…., который </w:t>
      </w:r>
      <w:r>
        <w:rPr>
          <w:rFonts w:ascii="Times New Roman" w:hAnsi="Times New Roman"/>
          <w:sz w:val="28"/>
          <w:szCs w:val="28"/>
        </w:rPr>
        <w:t xml:space="preserve">выполнен … (приводятся известные заявителю </w:t>
      </w:r>
      <w:r w:rsidRPr="009900AE">
        <w:rPr>
          <w:rFonts w:ascii="Times New Roman" w:hAnsi="Times New Roman"/>
          <w:sz w:val="28"/>
          <w:szCs w:val="28"/>
        </w:rPr>
        <w:t>аналоги изобретения</w:t>
      </w:r>
      <w:r>
        <w:rPr>
          <w:rFonts w:ascii="Times New Roman" w:hAnsi="Times New Roman"/>
          <w:sz w:val="28"/>
          <w:szCs w:val="28"/>
        </w:rPr>
        <w:t>, определенные в результате патентного поиска</w:t>
      </w:r>
      <w:r w:rsidRPr="009900A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Pr="009900AE">
        <w:rPr>
          <w:rFonts w:ascii="Times New Roman" w:hAnsi="Times New Roman"/>
          <w:sz w:val="28"/>
          <w:szCs w:val="28"/>
        </w:rPr>
        <w:t xml:space="preserve"> Недостатками данног</w:t>
      </w:r>
      <w:r>
        <w:rPr>
          <w:rFonts w:ascii="Times New Roman" w:hAnsi="Times New Roman"/>
          <w:sz w:val="28"/>
          <w:szCs w:val="28"/>
        </w:rPr>
        <w:t xml:space="preserve">о технического решения являются … </w:t>
      </w:r>
      <w:r w:rsidRPr="009900AE">
        <w:rPr>
          <w:rFonts w:ascii="Times New Roman" w:hAnsi="Times New Roman"/>
          <w:sz w:val="28"/>
          <w:szCs w:val="28"/>
        </w:rPr>
        <w:t>(указыв</w:t>
      </w:r>
      <w:r>
        <w:rPr>
          <w:rFonts w:ascii="Times New Roman" w:hAnsi="Times New Roman"/>
          <w:sz w:val="28"/>
          <w:szCs w:val="28"/>
        </w:rPr>
        <w:t>аются известные заявителю</w:t>
      </w:r>
      <w:r w:rsidRPr="009900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недостатки аналогов</w:t>
      </w:r>
      <w:r w:rsidRPr="009900AE">
        <w:rPr>
          <w:rFonts w:ascii="Times New Roman" w:hAnsi="Times New Roman"/>
          <w:sz w:val="28"/>
          <w:szCs w:val="28"/>
        </w:rPr>
        <w:t>).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близким к заявленному </w:t>
      </w:r>
      <w:r w:rsidRPr="009900AE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ехническому решению является </w:t>
      </w:r>
      <w:r w:rsidRPr="009900AE">
        <w:rPr>
          <w:rFonts w:ascii="Times New Roman" w:hAnsi="Times New Roman"/>
          <w:sz w:val="28"/>
          <w:szCs w:val="28"/>
        </w:rPr>
        <w:t xml:space="preserve">… (приводятся сведения о </w:t>
      </w:r>
      <w:r>
        <w:rPr>
          <w:rFonts w:ascii="Times New Roman" w:hAnsi="Times New Roman"/>
          <w:sz w:val="28"/>
          <w:szCs w:val="28"/>
        </w:rPr>
        <w:t>прототипе). Н</w:t>
      </w:r>
      <w:r w:rsidRPr="009900AE">
        <w:rPr>
          <w:rFonts w:ascii="Times New Roman" w:hAnsi="Times New Roman"/>
          <w:sz w:val="28"/>
          <w:szCs w:val="28"/>
        </w:rPr>
        <w:t>едоста</w:t>
      </w:r>
      <w:r>
        <w:rPr>
          <w:rFonts w:ascii="Times New Roman" w:hAnsi="Times New Roman"/>
          <w:sz w:val="28"/>
          <w:szCs w:val="28"/>
        </w:rPr>
        <w:t>тками данного технического решения являются</w:t>
      </w:r>
      <w:r w:rsidRPr="009900AE">
        <w:rPr>
          <w:rFonts w:ascii="Times New Roman" w:hAnsi="Times New Roman"/>
          <w:sz w:val="28"/>
          <w:szCs w:val="28"/>
        </w:rPr>
        <w:t xml:space="preserve"> … (указываются</w:t>
      </w:r>
      <w:r>
        <w:rPr>
          <w:rFonts w:ascii="Times New Roman" w:hAnsi="Times New Roman"/>
          <w:sz w:val="28"/>
          <w:szCs w:val="28"/>
        </w:rPr>
        <w:t xml:space="preserve"> недостатки)</w:t>
      </w:r>
      <w:r w:rsidRPr="009900AE">
        <w:rPr>
          <w:rFonts w:ascii="Times New Roman" w:hAnsi="Times New Roman"/>
          <w:sz w:val="28"/>
          <w:szCs w:val="28"/>
        </w:rPr>
        <w:t xml:space="preserve">. </w:t>
      </w:r>
    </w:p>
    <w:p w:rsidR="00B92C00" w:rsidRPr="00EA2782" w:rsidRDefault="00B92C00" w:rsidP="00B92C00">
      <w:pPr>
        <w:ind w:firstLine="550"/>
        <w:rPr>
          <w:rFonts w:ascii="Times New Roman" w:hAnsi="Times New Roman"/>
          <w:i/>
          <w:sz w:val="28"/>
          <w:szCs w:val="28"/>
        </w:rPr>
      </w:pPr>
      <w:r w:rsidRPr="00EA2782">
        <w:rPr>
          <w:rFonts w:ascii="Times New Roman" w:hAnsi="Times New Roman"/>
          <w:i/>
          <w:sz w:val="28"/>
          <w:szCs w:val="28"/>
        </w:rPr>
        <w:t xml:space="preserve">Сущность модели. Главное в модели - это совокупность существенных признаков, достаточных для достижения технического результата. Признаки относятся </w:t>
      </w:r>
      <w:proofErr w:type="gramStart"/>
      <w:r w:rsidRPr="00EA2782">
        <w:rPr>
          <w:rFonts w:ascii="Times New Roman" w:hAnsi="Times New Roman"/>
          <w:i/>
          <w:sz w:val="28"/>
          <w:szCs w:val="28"/>
        </w:rPr>
        <w:t>к</w:t>
      </w:r>
      <w:proofErr w:type="gramEnd"/>
      <w:r w:rsidRPr="00EA2782">
        <w:rPr>
          <w:rFonts w:ascii="Times New Roman" w:hAnsi="Times New Roman"/>
          <w:i/>
          <w:sz w:val="28"/>
          <w:szCs w:val="28"/>
        </w:rPr>
        <w:t xml:space="preserve"> существенным, если они влияют на достигаемый результат. В этом разделе приводятся все существенные признаки, характеризующие модель, выделяются отличительные от прототипа. Технический результат может выражаться, в частности, в уменьшении крутящего момента, в снижении сил трения, в предотвращении появления вибрации и заклинивания и т. д.;</w:t>
      </w:r>
    </w:p>
    <w:p w:rsidR="00B92C00" w:rsidRDefault="00B92C00" w:rsidP="00B92C00">
      <w:pPr>
        <w:ind w:firstLine="550"/>
        <w:rPr>
          <w:rFonts w:ascii="Times New Roman" w:hAnsi="Times New Roman"/>
          <w:sz w:val="28"/>
          <w:szCs w:val="28"/>
        </w:rPr>
      </w:pPr>
      <w:r w:rsidRPr="009900AE">
        <w:rPr>
          <w:rFonts w:ascii="Times New Roman" w:hAnsi="Times New Roman"/>
          <w:sz w:val="28"/>
          <w:szCs w:val="28"/>
        </w:rPr>
        <w:t>Задачей, на решение которой направлено заявляемое изобретение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900AE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.</w:t>
      </w:r>
      <w:r w:rsidRPr="009900AE">
        <w:rPr>
          <w:rFonts w:ascii="Times New Roman" w:hAnsi="Times New Roman"/>
          <w:sz w:val="28"/>
          <w:szCs w:val="28"/>
        </w:rPr>
        <w:t xml:space="preserve"> Данная задача решается за счет того, что </w:t>
      </w:r>
      <w:r>
        <w:rPr>
          <w:rFonts w:ascii="Times New Roman" w:hAnsi="Times New Roman"/>
          <w:sz w:val="28"/>
          <w:szCs w:val="28"/>
        </w:rPr>
        <w:t>… (описание существенны признаков устройства и принципа его работы).</w:t>
      </w:r>
    </w:p>
    <w:p w:rsidR="00B92C00" w:rsidRDefault="00B92C00" w:rsidP="00B92C00">
      <w:pPr>
        <w:ind w:firstLine="550"/>
        <w:rPr>
          <w:rFonts w:ascii="Times New Roman" w:hAnsi="Times New Roman"/>
          <w:b/>
          <w:sz w:val="28"/>
          <w:szCs w:val="28"/>
        </w:rPr>
      </w:pPr>
    </w:p>
    <w:p w:rsidR="00B92C00" w:rsidRPr="003873E7" w:rsidRDefault="00B92C00" w:rsidP="00B92C00">
      <w:pPr>
        <w:ind w:firstLine="550"/>
        <w:rPr>
          <w:rFonts w:ascii="Times New Roman" w:hAnsi="Times New Roman"/>
          <w:b/>
          <w:sz w:val="28"/>
          <w:szCs w:val="28"/>
        </w:rPr>
      </w:pPr>
      <w:r w:rsidRPr="003873E7">
        <w:rPr>
          <w:rFonts w:ascii="Times New Roman" w:hAnsi="Times New Roman"/>
          <w:b/>
          <w:sz w:val="28"/>
          <w:szCs w:val="28"/>
        </w:rPr>
        <w:t>Формула изобретения (полезной модели)</w:t>
      </w:r>
    </w:p>
    <w:p w:rsidR="00B92C00" w:rsidRPr="003873E7" w:rsidRDefault="00B92C00" w:rsidP="00B92C00">
      <w:pPr>
        <w:ind w:firstLine="550"/>
        <w:rPr>
          <w:rFonts w:ascii="Times New Roman" w:hAnsi="Times New Roman"/>
          <w:i/>
          <w:sz w:val="28"/>
          <w:szCs w:val="28"/>
        </w:rPr>
      </w:pPr>
      <w:r w:rsidRPr="003873E7">
        <w:rPr>
          <w:rFonts w:ascii="Times New Roman" w:hAnsi="Times New Roman"/>
          <w:i/>
          <w:sz w:val="28"/>
          <w:szCs w:val="28"/>
        </w:rPr>
        <w:t>Формула начинается с названия полезной модели и состоит из двух частей. В одной части даются общие признаки предлагаемой модели и прототипа, в другой (отличительной) - существенные новые признаки модели, которые и определяют объем право вой охраны патентуемой полезной модели. Обе части отделяются словосочетанием «…</w:t>
      </w:r>
      <w:proofErr w:type="gramStart"/>
      <w:r w:rsidRPr="003873E7">
        <w:rPr>
          <w:rFonts w:ascii="Times New Roman" w:hAnsi="Times New Roman"/>
          <w:i/>
          <w:sz w:val="28"/>
          <w:szCs w:val="28"/>
          <w:u w:val="single"/>
        </w:rPr>
        <w:t>отличающийся</w:t>
      </w:r>
      <w:proofErr w:type="gramEnd"/>
      <w:r w:rsidRPr="003873E7">
        <w:rPr>
          <w:rFonts w:ascii="Times New Roman" w:hAnsi="Times New Roman"/>
          <w:i/>
          <w:sz w:val="28"/>
          <w:szCs w:val="28"/>
          <w:u w:val="single"/>
        </w:rPr>
        <w:t xml:space="preserve"> тем, что</w:t>
      </w:r>
      <w:r w:rsidRPr="003873E7">
        <w:rPr>
          <w:rFonts w:ascii="Times New Roman" w:hAnsi="Times New Roman"/>
          <w:i/>
          <w:sz w:val="28"/>
          <w:szCs w:val="28"/>
        </w:rPr>
        <w:t xml:space="preserve"> ... ». Как и для изобретения, только формула полезной модели, ее отличительная часть, является юридическим документом, определяющим права собственника на указанные в ней существенные признаки, которые в дальнейшем будут защищены патентом. </w:t>
      </w:r>
      <w:r w:rsidRPr="003873E7">
        <w:rPr>
          <w:rFonts w:ascii="Times New Roman" w:hAnsi="Times New Roman"/>
          <w:i/>
          <w:sz w:val="28"/>
          <w:szCs w:val="28"/>
          <w:u w:val="single"/>
        </w:rPr>
        <w:t>Факт использования модели будет определяться только по признакам, указанным в формуле</w:t>
      </w:r>
      <w:r w:rsidRPr="003873E7">
        <w:rPr>
          <w:rFonts w:ascii="Times New Roman" w:hAnsi="Times New Roman"/>
          <w:i/>
          <w:sz w:val="28"/>
          <w:szCs w:val="28"/>
        </w:rPr>
        <w:t>, ссылки на описание или иные материалы в расчет приниматься не будут.</w:t>
      </w:r>
    </w:p>
    <w:p w:rsidR="00B92C00" w:rsidRPr="00D71EBC" w:rsidRDefault="00B92C00" w:rsidP="00B92C00">
      <w:pPr>
        <w:ind w:firstLine="55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71EBC">
        <w:rPr>
          <w:rFonts w:ascii="Times New Roman" w:hAnsi="Times New Roman"/>
          <w:b/>
          <w:bCs/>
          <w:sz w:val="28"/>
          <w:szCs w:val="28"/>
        </w:rPr>
        <w:lastRenderedPageBreak/>
        <w:t>Пример составления реферата (устройство)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 xml:space="preserve">ПОЧТОВАЯ СЕКЦИЯ 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>Изобретение относится к почтовому оборудованию и может быть использовано, в частности, для установки в подъездах жилых многоквартирных домов.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D71EBC">
        <w:rPr>
          <w:rFonts w:ascii="Times New Roman" w:hAnsi="Times New Roman"/>
          <w:sz w:val="28"/>
          <w:szCs w:val="28"/>
        </w:rPr>
        <w:t xml:space="preserve">Почтовая секция содержит корпус с размешенными в нем наклонными полками (ячейками) с индивидуальными запирающимися дверцами. Корпус шарнирно закреплен на вертикальной опорной пластине. Каждая ячейка выполнена так, что наклонная полка со стороны дверцы направлена вверх. Изобретение позволяет исключить возможность непредусмотренного доступа к корреспонденции и повысить удобство пользования. 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  <w:r w:rsidRPr="00D71EBC">
        <w:rPr>
          <w:rFonts w:ascii="Times New Roman" w:hAnsi="Times New Roman"/>
          <w:b/>
          <w:bCs/>
          <w:sz w:val="28"/>
          <w:szCs w:val="28"/>
        </w:rPr>
        <w:t>Пример составления реферата (способ)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>СПОСОБ РАЗМЕЩЕНИЯ РЕКЛАМЫ ТОВАРОВ И УСЛУГ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bCs/>
          <w:sz w:val="28"/>
          <w:szCs w:val="28"/>
        </w:rPr>
      </w:pPr>
      <w:r w:rsidRPr="00D71EBC">
        <w:rPr>
          <w:rFonts w:ascii="Times New Roman" w:hAnsi="Times New Roman"/>
          <w:bCs/>
          <w:sz w:val="28"/>
          <w:szCs w:val="28"/>
        </w:rPr>
        <w:t xml:space="preserve">Изобретение относится к области рекламы на различных предметах или в них, в частности на бумажных изделиях, а именно на конвертах. 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D71EBC">
        <w:rPr>
          <w:rFonts w:ascii="Times New Roman" w:hAnsi="Times New Roman"/>
          <w:sz w:val="28"/>
          <w:szCs w:val="28"/>
        </w:rPr>
        <w:t xml:space="preserve">Способ размещения рекламы товаров и услуг заключается в том, что в верхней части передней наружной поверхности конверта закрепляют несколько карманов, в которых размещают рекламные вкладыши с плоским изображением и/или объемные рекламные вкладыши. </w:t>
      </w:r>
      <w:proofErr w:type="gramStart"/>
      <w:r w:rsidRPr="00D71EBC">
        <w:rPr>
          <w:rFonts w:ascii="Times New Roman" w:hAnsi="Times New Roman"/>
          <w:sz w:val="28"/>
          <w:szCs w:val="28"/>
        </w:rPr>
        <w:t>На наружной поверхности клапана, на задней наружной и передней наружной поверхности конверта, на передней и задней наружной и внутренней поверхности каждого из карманов, а также на обеих поверхностях рекламных вкладышей с плоским изображением и объемных рекламных вкладышей наносят текст и/или графическое изображение, и на любой из указанных наружных поверхностей размещают легко стираемое покрытие.</w:t>
      </w:r>
      <w:proofErr w:type="gramEnd"/>
      <w:r w:rsidRPr="00D71EBC">
        <w:rPr>
          <w:rFonts w:ascii="Times New Roman" w:hAnsi="Times New Roman"/>
          <w:sz w:val="28"/>
          <w:szCs w:val="28"/>
        </w:rPr>
        <w:t xml:space="preserve"> Следовательно, имеет место повышение эффективности размещения рекламы</w:t>
      </w:r>
    </w:p>
    <w:p w:rsidR="00B92C00" w:rsidRPr="00D71EBC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  <w:r w:rsidRPr="00D71EBC">
        <w:rPr>
          <w:rFonts w:ascii="Times New Roman" w:hAnsi="Times New Roman"/>
          <w:sz w:val="28"/>
          <w:szCs w:val="28"/>
        </w:rPr>
        <w:t>Образцов составления реферата в стандартах нет, но для студе</w:t>
      </w:r>
      <w:r>
        <w:rPr>
          <w:rFonts w:ascii="Times New Roman" w:hAnsi="Times New Roman"/>
          <w:sz w:val="28"/>
          <w:szCs w:val="28"/>
        </w:rPr>
        <w:t xml:space="preserve">нтов использование приведенных </w:t>
      </w:r>
      <w:r w:rsidRPr="00D71EBC">
        <w:rPr>
          <w:rFonts w:ascii="Times New Roman" w:hAnsi="Times New Roman"/>
          <w:sz w:val="28"/>
          <w:szCs w:val="28"/>
        </w:rPr>
        <w:t>выше образцов реферата является обязательным.</w:t>
      </w: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firstLine="652"/>
        <w:rPr>
          <w:rFonts w:ascii="Times New Roman" w:hAnsi="Times New Roman"/>
          <w:sz w:val="28"/>
          <w:szCs w:val="28"/>
        </w:rPr>
      </w:pPr>
    </w:p>
    <w:p w:rsidR="00B92C00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B92C00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B92C00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B92C00" w:rsidRPr="0080202C" w:rsidRDefault="00B92C00" w:rsidP="00B92C00">
      <w:pPr>
        <w:ind w:left="57" w:right="57" w:hanging="57"/>
        <w:rPr>
          <w:rFonts w:ascii="Times New Roman" w:hAnsi="Times New Roman"/>
          <w:b/>
          <w:sz w:val="28"/>
          <w:szCs w:val="28"/>
        </w:rPr>
      </w:pPr>
    </w:p>
    <w:p w:rsidR="001310E8" w:rsidRDefault="001310E8"/>
    <w:sectPr w:rsidR="001310E8" w:rsidSect="00623F7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00"/>
    <w:rsid w:val="001310E8"/>
    <w:rsid w:val="007A49AC"/>
    <w:rsid w:val="0092576A"/>
    <w:rsid w:val="00B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00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sysadmin</cp:lastModifiedBy>
  <cp:revision>2</cp:revision>
  <dcterms:created xsi:type="dcterms:W3CDTF">2020-10-27T09:18:00Z</dcterms:created>
  <dcterms:modified xsi:type="dcterms:W3CDTF">2020-10-27T13:47:00Z</dcterms:modified>
</cp:coreProperties>
</file>