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0F172A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r/>
            <w:r>
              <w:rPr>
                <w:rFonts w:ascii="Calibri" w:hAnsi="Calibri" w:cs="Calibri" w:eastAsia="Calibri"/>
                <w:b/>
                <w:color w:val="5EEAD4"/>
                <w:sz w:val="22"/>
              </w:rPr>
              <w:t>РАСШИРЕННЫЙ ВАРИАНТ, 52 АКАДЕМИЧЕСКИХ ЧАСА</w:t>
            </w:r>
          </w:p>
          <w:p>
            <w:pPr>
              <w:spacing w:before="160" w:after="120"/>
            </w:pPr>
            <w:r>
              <w:rPr>
                <w:rFonts w:ascii="Calibri" w:hAnsi="Calibri" w:cs="Calibri" w:eastAsia="Calibri"/>
                <w:b/>
                <w:color w:val="FFFFFF"/>
                <w:sz w:val="44"/>
              </w:rPr>
              <w:t>Сценарий проведения занятий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color w:val="CBD5E1"/>
                <w:sz w:val="24"/>
              </w:rPr>
              <w:t>Базовая пара на 90 минут и дополнительное практическое занятие на 90 минут по каждой теме.</w:t>
            </w:r>
          </w:p>
        </w:tc>
      </w:tr>
    </w:tbl>
    <w:p/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EFF6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2"/>
              </w:rPr>
              <w:t>К базовому объему каждой темы добавлены 2 академических часа. Это отдельное занятие на 90 минут, а не паузы внутри лекции. Лекционные часы и самостоятельная работа остаются как в программе на 44 часа.</w:t>
            </w:r>
          </w:p>
        </w:tc>
      </w:tr>
    </w:tbl>
    <w:p>
      <w:pPr>
        <w:spacing w:after="80"/>
      </w:pPr>
    </w:p>
    <w:p>
      <w:pPr>
        <w:pStyle w:val="Heading1"/>
      </w:pPr>
      <w:r>
        <w:t>Общая модель базовой пары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360"/>
        <w:gridCol w:w="6123"/>
      </w:tblGrid>
      <w:tr>
        <w:trPr>
          <w:cantSplit/>
        </w:trPr>
        <w:tc>
          <w:tcPr>
            <w:tcW w:type="dxa" w:w="2381"/>
            <w:shd w:val="clear" w:color="auto" w:fill="0F172A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1361"/>
            <w:shd w:val="clear" w:color="auto" w:fill="0F172A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Минуты</w:t>
            </w:r>
          </w:p>
        </w:tc>
        <w:tc>
          <w:tcPr>
            <w:tcW w:type="dxa" w:w="6123"/>
            <w:shd w:val="clear" w:color="auto" w:fill="0F172A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Что происходит</w:t>
            </w:r>
          </w:p>
        </w:tc>
      </w:tr>
      <w:tr>
        <w:trPr>
          <w:cantSplit/>
          <w:trHeight w:val="420" w:hRule="atLeast"/>
        </w:trPr>
        <w:tc>
          <w:tcPr>
            <w:tcW w:type="dxa" w:w="2381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0"/>
              </w:rPr>
              <w:t>Вход в тему</w:t>
            </w:r>
          </w:p>
        </w:tc>
        <w:tc>
          <w:tcPr>
            <w:tcW w:type="dxa" w:w="1361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10</w:t>
            </w:r>
          </w:p>
        </w:tc>
        <w:tc>
          <w:tcPr>
            <w:tcW w:type="dxa" w:w="6123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Вопрос к опыту группы и цели занятия</w:t>
            </w:r>
          </w:p>
        </w:tc>
      </w:tr>
      <w:tr>
        <w:trPr>
          <w:cantSplit/>
          <w:trHeight w:val="420" w:hRule="atLeast"/>
        </w:trPr>
        <w:tc>
          <w:tcPr>
            <w:tcW w:type="dxa" w:w="2381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0"/>
              </w:rPr>
              <w:t>Теория</w:t>
            </w:r>
          </w:p>
        </w:tc>
        <w:tc>
          <w:tcPr>
            <w:tcW w:type="dxa" w:w="1361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25</w:t>
            </w:r>
          </w:p>
        </w:tc>
        <w:tc>
          <w:tcPr>
            <w:tcW w:type="dxa" w:w="6123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Презентация: одна мысль на слайд, без чтения текста</w:t>
            </w:r>
          </w:p>
        </w:tc>
      </w:tr>
      <w:tr>
        <w:trPr>
          <w:cantSplit/>
          <w:trHeight w:val="420" w:hRule="atLeast"/>
        </w:trPr>
        <w:tc>
          <w:tcPr>
            <w:tcW w:type="dxa" w:w="2381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0"/>
              </w:rPr>
              <w:t>Кейс</w:t>
            </w:r>
          </w:p>
        </w:tc>
        <w:tc>
          <w:tcPr>
            <w:tcW w:type="dxa" w:w="1361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15</w:t>
            </w:r>
          </w:p>
        </w:tc>
        <w:tc>
          <w:tcPr>
            <w:tcW w:type="dxa" w:w="6123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Разбор ситуации с доски или из презентации</w:t>
            </w:r>
          </w:p>
        </w:tc>
      </w:tr>
      <w:tr>
        <w:trPr>
          <w:cantSplit/>
          <w:trHeight w:val="420" w:hRule="atLeast"/>
        </w:trPr>
        <w:tc>
          <w:tcPr>
            <w:tcW w:type="dxa" w:w="2381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0"/>
              </w:rPr>
              <w:t>Практика</w:t>
            </w:r>
          </w:p>
        </w:tc>
        <w:tc>
          <w:tcPr>
            <w:tcW w:type="dxa" w:w="1361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25</w:t>
            </w:r>
          </w:p>
        </w:tc>
        <w:tc>
          <w:tcPr>
            <w:tcW w:type="dxa" w:w="6123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Группы заполняют бланк рабочей тетради</w:t>
            </w:r>
          </w:p>
        </w:tc>
      </w:tr>
      <w:tr>
        <w:trPr>
          <w:cantSplit/>
          <w:trHeight w:val="420" w:hRule="atLeast"/>
        </w:trPr>
        <w:tc>
          <w:tcPr>
            <w:tcW w:type="dxa" w:w="2381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0"/>
              </w:rPr>
              <w:t>Рефлексия</w:t>
            </w:r>
          </w:p>
        </w:tc>
        <w:tc>
          <w:tcPr>
            <w:tcW w:type="dxa" w:w="1361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10</w:t>
            </w:r>
          </w:p>
        </w:tc>
        <w:tc>
          <w:tcPr>
            <w:tcW w:type="dxa" w:w="6123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Что получилось и какой риск остался</w:t>
            </w:r>
          </w:p>
        </w:tc>
      </w:tr>
      <w:tr>
        <w:trPr>
          <w:cantSplit/>
          <w:trHeight w:val="420" w:hRule="atLeast"/>
        </w:trPr>
        <w:tc>
          <w:tcPr>
            <w:tcW w:type="dxa" w:w="2381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0"/>
              </w:rPr>
              <w:t>Домашняя работа</w:t>
            </w:r>
          </w:p>
        </w:tc>
        <w:tc>
          <w:tcPr>
            <w:tcW w:type="dxa" w:w="1361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5</w:t>
            </w:r>
          </w:p>
        </w:tc>
        <w:tc>
          <w:tcPr>
            <w:tcW w:type="dxa" w:w="6123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Последний слайд: продукт и срок</w:t>
            </w:r>
          </w:p>
        </w:tc>
      </w:tr>
    </w:tbl>
    <w:p>
      <w:pPr>
        <w:spacing w:after="80"/>
      </w:pPr>
    </w:p>
    <w:p>
      <w:pPr>
        <w:pStyle w:val="Heading1"/>
      </w:pPr>
      <w:r>
        <w:t>Тема 1. ЦОР и право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/>
          <w:color w:val="0F172A"/>
          <w:sz w:val="24"/>
        </w:rPr>
        <w:t xml:space="preserve">Старт. </w:t>
      </w:r>
      <w:r>
        <w:rPr>
          <w:rFonts w:ascii="Calibri" w:hAnsi="Calibri" w:cs="Calibri" w:eastAsia="Calibri"/>
          <w:b w:val="0"/>
          <w:color w:val="0F172A"/>
          <w:sz w:val="24"/>
        </w:rPr>
        <w:t>Спросите, какими цифровыми ресурсами студенты пользуются каждую неделю.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/>
          <w:color w:val="0F172A"/>
          <w:sz w:val="24"/>
        </w:rPr>
        <w:t xml:space="preserve">Фокус. </w:t>
      </w:r>
      <w:r>
        <w:rPr>
          <w:rFonts w:ascii="Calibri" w:hAnsi="Calibri" w:cs="Calibri" w:eastAsia="Calibri"/>
          <w:b w:val="0"/>
          <w:color w:val="0F172A"/>
          <w:sz w:val="24"/>
        </w:rPr>
        <w:t>Цепочка «учебная цель → формат ЦОР → правовое ограничение».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/>
          <w:color w:val="0F172A"/>
          <w:sz w:val="24"/>
        </w:rPr>
        <w:t xml:space="preserve">Активность. </w:t>
      </w:r>
      <w:r>
        <w:rPr>
          <w:rFonts w:ascii="Calibri" w:hAnsi="Calibri" w:cs="Calibri" w:eastAsia="Calibri"/>
          <w:b w:val="0"/>
          <w:color w:val="0F172A"/>
          <w:sz w:val="24"/>
        </w:rPr>
        <w:t>Кейс с чужим видео, картинками из поиска и формой с телефоном.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/>
          <w:color w:val="0F172A"/>
          <w:sz w:val="24"/>
        </w:rPr>
        <w:t xml:space="preserve">Результат. </w:t>
      </w:r>
      <w:r>
        <w:rPr>
          <w:rFonts w:ascii="Calibri" w:hAnsi="Calibri" w:cs="Calibri" w:eastAsia="Calibri"/>
          <w:b w:val="0"/>
          <w:color w:val="0F172A"/>
          <w:sz w:val="24"/>
        </w:rPr>
        <w:t>Чек-лист законной публикации ресурса.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/>
          <w:color w:val="0F172A"/>
          <w:sz w:val="24"/>
        </w:rPr>
        <w:t xml:space="preserve">Дополнительно, 90 минут. </w:t>
      </w:r>
      <w:r>
        <w:rPr>
          <w:rFonts w:ascii="Calibri" w:hAnsi="Calibri" w:cs="Calibri" w:eastAsia="Calibri"/>
          <w:b w:val="0"/>
          <w:color w:val="0F172A"/>
          <w:sz w:val="24"/>
        </w:rPr>
        <w:t>Паспорт ЦОР, правовой разбор картинки, видео и формы с ПДн, решение о публикации.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/>
          <w:color w:val="0F172A"/>
          <w:sz w:val="24"/>
        </w:rPr>
        <w:t xml:space="preserve">Презентация. </w:t>
      </w:r>
      <w:r>
        <w:rPr>
          <w:rFonts w:ascii="Calibri" w:hAnsi="Calibri" w:cs="Calibri" w:eastAsia="Calibri"/>
          <w:b w:val="0"/>
          <w:color w:val="0F172A"/>
          <w:sz w:val="24"/>
        </w:rPr>
        <w:t>Тема 1. Основные понятия и классификация ЦОР.pptx, слайды дополнительного занятия.</w:t>
      </w:r>
    </w:p>
    <w:p>
      <w:pPr>
        <w:pStyle w:val="Heading1"/>
      </w:pPr>
      <w:r>
        <w:t>Тема 2. EdTech и платформы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/>
          <w:color w:val="0F172A"/>
          <w:sz w:val="24"/>
        </w:rPr>
        <w:t xml:space="preserve">Старт. </w:t>
      </w:r>
      <w:r>
        <w:rPr>
          <w:rFonts w:ascii="Calibri" w:hAnsi="Calibri" w:cs="Calibri" w:eastAsia="Calibri"/>
          <w:b w:val="0"/>
          <w:color w:val="0F172A"/>
          <w:sz w:val="24"/>
        </w:rPr>
        <w:t>Короткое голосование: какой платформой уже пользовались и почему.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/>
          <w:color w:val="0F172A"/>
          <w:sz w:val="24"/>
        </w:rPr>
        <w:t xml:space="preserve">Фокус. </w:t>
      </w:r>
      <w:r>
        <w:rPr>
          <w:rFonts w:ascii="Calibri" w:hAnsi="Calibri" w:cs="Calibri" w:eastAsia="Calibri"/>
          <w:b w:val="0"/>
          <w:color w:val="0F172A"/>
          <w:sz w:val="24"/>
        </w:rPr>
        <w:t>Сравнение по критериям, а не по известности бренда.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/>
          <w:color w:val="0F172A"/>
          <w:sz w:val="24"/>
        </w:rPr>
        <w:t xml:space="preserve">Активность. </w:t>
      </w:r>
      <w:r>
        <w:rPr>
          <w:rFonts w:ascii="Calibri" w:hAnsi="Calibri" w:cs="Calibri" w:eastAsia="Calibri"/>
          <w:b w:val="0"/>
          <w:color w:val="0F172A"/>
          <w:sz w:val="24"/>
        </w:rPr>
        <w:t>Группа выбирает 2 LMS и 1 конструктор под свой курс.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/>
          <w:color w:val="0F172A"/>
          <w:sz w:val="24"/>
        </w:rPr>
        <w:t xml:space="preserve">Результат. </w:t>
      </w:r>
      <w:r>
        <w:rPr>
          <w:rFonts w:ascii="Calibri" w:hAnsi="Calibri" w:cs="Calibri" w:eastAsia="Calibri"/>
          <w:b w:val="0"/>
          <w:color w:val="0F172A"/>
          <w:sz w:val="24"/>
        </w:rPr>
        <w:t>Матрица из рабочей тетради и устное обоснование.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/>
          <w:color w:val="0F172A"/>
          <w:sz w:val="24"/>
        </w:rPr>
        <w:t xml:space="preserve">Дополнительно, 90 минут. </w:t>
      </w:r>
      <w:r>
        <w:rPr>
          <w:rFonts w:ascii="Calibri" w:hAnsi="Calibri" w:cs="Calibri" w:eastAsia="Calibri"/>
          <w:b w:val="0"/>
          <w:color w:val="0F172A"/>
          <w:sz w:val="24"/>
        </w:rPr>
        <w:t>Защита сравнения, сборка одного законченного интерактива, взаимопроверка.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/>
          <w:color w:val="0F172A"/>
          <w:sz w:val="24"/>
        </w:rPr>
        <w:t xml:space="preserve">Презентация. </w:t>
      </w:r>
      <w:r>
        <w:rPr>
          <w:rFonts w:ascii="Calibri" w:hAnsi="Calibri" w:cs="Calibri" w:eastAsia="Calibri"/>
          <w:b w:val="0"/>
          <w:color w:val="0F172A"/>
          <w:sz w:val="24"/>
        </w:rPr>
        <w:t>Тема 2. Современные тенденции в EdTech.pptx, слайды дополнительного занятия.</w:t>
      </w:r>
    </w:p>
    <w:p>
      <w:pPr>
        <w:pStyle w:val="Heading1"/>
      </w:pPr>
      <w:r>
        <w:t>Тема 3. LMS Moodle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/>
          <w:color w:val="0F172A"/>
          <w:sz w:val="24"/>
        </w:rPr>
        <w:t xml:space="preserve">Старт. </w:t>
      </w:r>
      <w:r>
        <w:rPr>
          <w:rFonts w:ascii="Calibri" w:hAnsi="Calibri" w:cs="Calibri" w:eastAsia="Calibri"/>
          <w:b w:val="0"/>
          <w:color w:val="0F172A"/>
          <w:sz w:val="24"/>
        </w:rPr>
        <w:t>Покажите пустой курс и спросите, чего в нем не хватает студенту.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/>
          <w:color w:val="0F172A"/>
          <w:sz w:val="24"/>
        </w:rPr>
        <w:t xml:space="preserve">Фокус. </w:t>
      </w:r>
      <w:r>
        <w:rPr>
          <w:rFonts w:ascii="Calibri" w:hAnsi="Calibri" w:cs="Calibri" w:eastAsia="Calibri"/>
          <w:b w:val="0"/>
          <w:color w:val="0F172A"/>
          <w:sz w:val="24"/>
        </w:rPr>
        <w:t>Структура, роли, оценивание, путь прохождения.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/>
          <w:color w:val="0F172A"/>
          <w:sz w:val="24"/>
        </w:rPr>
        <w:t xml:space="preserve">Активность. </w:t>
      </w:r>
      <w:r>
        <w:rPr>
          <w:rFonts w:ascii="Calibri" w:hAnsi="Calibri" w:cs="Calibri" w:eastAsia="Calibri"/>
          <w:b w:val="0"/>
          <w:color w:val="0F172A"/>
          <w:sz w:val="24"/>
        </w:rPr>
        <w:t>Сборка мини-курса: 3 раздела, тест, задание, форум.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/>
          <w:color w:val="0F172A"/>
          <w:sz w:val="24"/>
        </w:rPr>
        <w:t xml:space="preserve">Результат. </w:t>
      </w:r>
      <w:r>
        <w:rPr>
          <w:rFonts w:ascii="Calibri" w:hAnsi="Calibri" w:cs="Calibri" w:eastAsia="Calibri"/>
          <w:b w:val="0"/>
          <w:color w:val="0F172A"/>
          <w:sz w:val="24"/>
        </w:rPr>
        <w:t>Опубликованный тестовый курс, пройденный от лица студента.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/>
          <w:color w:val="0F172A"/>
          <w:sz w:val="24"/>
        </w:rPr>
        <w:t xml:space="preserve">Дополнительно, 90 минут. </w:t>
      </w:r>
      <w:r>
        <w:rPr>
          <w:rFonts w:ascii="Calibri" w:hAnsi="Calibri" w:cs="Calibri" w:eastAsia="Calibri"/>
          <w:b w:val="0"/>
          <w:color w:val="0F172A"/>
          <w:sz w:val="24"/>
        </w:rPr>
        <w:t>Проход глазами студента, правка навигации и теста, повторный прогон.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/>
          <w:color w:val="0F172A"/>
          <w:sz w:val="24"/>
        </w:rPr>
        <w:t xml:space="preserve">Презентация. </w:t>
      </w:r>
      <w:r>
        <w:rPr>
          <w:rFonts w:ascii="Calibri" w:hAnsi="Calibri" w:cs="Calibri" w:eastAsia="Calibri"/>
          <w:b w:val="0"/>
          <w:color w:val="0F172A"/>
          <w:sz w:val="24"/>
        </w:rPr>
        <w:t>Тема 3. Системы управления обучением LMS.pptx, слайды дополнительного занятия.</w:t>
      </w:r>
    </w:p>
    <w:p>
      <w:pPr>
        <w:pStyle w:val="Heading1"/>
      </w:pPr>
      <w:r>
        <w:t>Тема 4. Проектирование ИС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/>
          <w:color w:val="0F172A"/>
          <w:sz w:val="24"/>
        </w:rPr>
        <w:t xml:space="preserve">Старт. </w:t>
      </w:r>
      <w:r>
        <w:rPr>
          <w:rFonts w:ascii="Calibri" w:hAnsi="Calibri" w:cs="Calibri" w:eastAsia="Calibri"/>
          <w:b w:val="0"/>
          <w:color w:val="0F172A"/>
          <w:sz w:val="24"/>
        </w:rPr>
        <w:t>Группа выбирает одну знакомую предметную область.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/>
          <w:color w:val="0F172A"/>
          <w:sz w:val="24"/>
        </w:rPr>
        <w:t xml:space="preserve">Фокус. </w:t>
      </w:r>
      <w:r>
        <w:rPr>
          <w:rFonts w:ascii="Calibri" w:hAnsi="Calibri" w:cs="Calibri" w:eastAsia="Calibri"/>
          <w:b w:val="0"/>
          <w:color w:val="0F172A"/>
          <w:sz w:val="24"/>
        </w:rPr>
        <w:t>Обследование → задачи автоматизации → BPMN → UML.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/>
          <w:color w:val="0F172A"/>
          <w:sz w:val="24"/>
        </w:rPr>
        <w:t xml:space="preserve">Активность. </w:t>
      </w:r>
      <w:r>
        <w:rPr>
          <w:rFonts w:ascii="Calibri" w:hAnsi="Calibri" w:cs="Calibri" w:eastAsia="Calibri"/>
          <w:b w:val="0"/>
          <w:color w:val="0F172A"/>
          <w:sz w:val="24"/>
        </w:rPr>
        <w:t>Схема процесса «как есть» и целевой сценарий.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/>
          <w:color w:val="0F172A"/>
          <w:sz w:val="24"/>
        </w:rPr>
        <w:t xml:space="preserve">Результат. </w:t>
      </w:r>
      <w:r>
        <w:rPr>
          <w:rFonts w:ascii="Calibri" w:hAnsi="Calibri" w:cs="Calibri" w:eastAsia="Calibri"/>
          <w:b w:val="0"/>
          <w:color w:val="0F172A"/>
          <w:sz w:val="24"/>
        </w:rPr>
        <w:t>Комплект диаграмм и короткое обоснование границ системы.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/>
          <w:color w:val="0F172A"/>
          <w:sz w:val="24"/>
        </w:rPr>
        <w:t xml:space="preserve">Дополнительно, 90 минут. </w:t>
      </w:r>
      <w:r>
        <w:rPr>
          <w:rFonts w:ascii="Calibri" w:hAnsi="Calibri" w:cs="Calibri" w:eastAsia="Calibri"/>
          <w:b w:val="0"/>
          <w:color w:val="0F172A"/>
          <w:sz w:val="24"/>
        </w:rPr>
        <w:t>Ролевая проверка BPMN, правка UML, связь схемы с требованием и критерием приемки.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/>
          <w:color w:val="0F172A"/>
          <w:sz w:val="24"/>
        </w:rPr>
        <w:t xml:space="preserve">Презентация. </w:t>
      </w:r>
      <w:r>
        <w:rPr>
          <w:rFonts w:ascii="Calibri" w:hAnsi="Calibri" w:cs="Calibri" w:eastAsia="Calibri"/>
          <w:b w:val="0"/>
          <w:color w:val="0F172A"/>
          <w:sz w:val="24"/>
        </w:rPr>
        <w:t>Тема 4. Основы проектирования информационных систем.pptx, слайды дополнительного занятия.</w:t>
      </w:r>
    </w:p>
    <w:p>
      <w:pPr>
        <w:pStyle w:val="Heading1"/>
      </w:pPr>
      <w:r>
        <w:t>Подготовка до пары</w:t>
      </w:r>
    </w:p>
    <w:p>
      <w:pPr>
        <w:pStyle w:val="ListNumber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Проверить вход в LMS и демонстрационный курс.</w:t>
      </w:r>
    </w:p>
    <w:p>
      <w:pPr>
        <w:pStyle w:val="ListNumber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Распечатать или выложить рабочую тетрадь.</w:t>
      </w:r>
    </w:p>
    <w:p>
      <w:pPr>
        <w:pStyle w:val="ListNumber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Открыть рубрику оценивания и показать ее студентам до работы.</w:t>
      </w:r>
    </w:p>
    <w:p>
      <w:pPr>
        <w:pStyle w:val="ListNumber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Сверить правовые формулировки с актуальными нормами и локальными актами.</w:t>
      </w:r>
    </w:p>
    <w:p>
      <w:pPr>
        <w:pStyle w:val="ListNumber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Держать запасной мини-кейс, если группа заканчивает раньше.</w:t>
      </w:r>
    </w:p>
    <w:p>
      <w:pPr>
        <w:pStyle w:val="Heading1"/>
      </w:pPr>
      <w:r>
        <w:t>Что должно остаться после пары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Продукт команды: таблица, схема или черновик курса.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Самооценка по двум-трем критериям рубрики.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Список вопросов, которые переносятся на следующее занятие.</w:t>
      </w:r>
    </w:p>
    <w:p>
      <w:pPr>
        <w:pStyle w:val="Heading1"/>
      </w:pPr>
      <w:r>
        <w:t>Обратная связь</w:t>
      </w:r>
    </w:p>
    <w:p>
      <w:pPr>
        <w:spacing w:after="160" w:before="0" w:line="276" w:lineRule="auto"/>
      </w:pPr>
      <w:r>
        <w:rPr>
          <w:rFonts w:ascii="Calibri" w:hAnsi="Calibri" w:cs="Calibri" w:eastAsia="Calibri"/>
          <w:b w:val="0"/>
          <w:color w:val="0F172A"/>
          <w:sz w:val="24"/>
        </w:rPr>
        <w:t>Формула комментария: что уже получилось → что улучшить в первую очередь → какой следующий шаг и к какому сроку.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EFF6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2"/>
              </w:rPr>
              <w:t>Сначала назовите сильную сторону. Затем одну, максимум две зоны роста. Длинный список замечаний группа не удерживает.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1020" w:left="1020" w:header="34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cs="Calibri" w:eastAsia="Calibri"/>
        <w:b w:val="0"/>
        <w:color w:val="475569"/>
        <w:sz w:val="18"/>
      </w:rPr>
      <w:t xml:space="preserve">Стр. </w:t>
    </w:r>
    <w:r>
      <w:rPr>
        <w:rFonts w:ascii="Calibri" w:hAnsi="Calibri" w:cs="Calibri" w:eastAsia="Calibri"/>
        <w:b w:val="0"/>
        <w:color w:val="475569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cs="Calibri" w:eastAsia="Calibri"/>
        <w:b w:val="0"/>
        <w:color w:val="475569"/>
        <w:sz w:val="18"/>
      </w:rPr>
      <w:t>Методический сценарий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cs="Calibri" w:eastAsia="Calibri"/>
      <w:color w:val="0F172A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D4E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F76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Методический сценарий проведения занятий</dc:title>
  <dc:subject>Основы проектирования цифровых образовательных ресурсов</dc:subject>
  <dc:creator>Учебный комплект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Методические материалы</cp:category>
  <dc:language>ru-RU</dc:language>
</cp:coreProperties>
</file>