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0F172A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r/>
            <w:r>
              <w:rPr>
                <w:rFonts w:ascii="Calibri" w:hAnsi="Calibri" w:cs="Calibri" w:eastAsia="Calibri"/>
                <w:b/>
                <w:color w:val="5EEAD4"/>
                <w:sz w:val="22"/>
              </w:rPr>
              <w:t>ОРИЕНТИР ДЛЯ ЗАНЯТИЙ, НЕ ЮРИДИЧЕСКОЕ ЗАКЛЮЧЕНИЕ</w:t>
            </w:r>
          </w:p>
          <w:p>
            <w:pPr>
              <w:spacing w:before="160" w:after="120"/>
            </w:pPr>
            <w:r>
              <w:rPr>
                <w:rFonts w:ascii="Calibri" w:hAnsi="Calibri" w:cs="Calibri" w:eastAsia="Calibri"/>
                <w:b/>
                <w:color w:val="FFFFFF"/>
                <w:sz w:val="44"/>
              </w:rPr>
              <w:t>Правовая памятка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CBD5E1"/>
                <w:sz w:val="24"/>
              </w:rPr>
              <w:t>Авторское право, персональные данные, доступность и публикация учебного цифрового контента.</w:t>
            </w:r>
          </w:p>
        </w:tc>
      </w:tr>
    </w:tbl>
    <w:p/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EFF6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>Перед публикацией курса сверяйте актуальные редакции нормативных актов и локальные акты своей образовательной организации. Памятка задает учебный маршрут проверки, а не заменяет юриста организации.</w:t>
            </w:r>
          </w:p>
        </w:tc>
      </w:tr>
    </w:tbl>
    <w:p>
      <w:pPr>
        <w:spacing w:after="80"/>
      </w:pPr>
    </w:p>
    <w:p>
      <w:pPr>
        <w:pStyle w:val="Heading1"/>
      </w:pPr>
      <w:r>
        <w:t>1. Нормы, которые стоит держать в поле зрения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5670"/>
      </w:tblGrid>
      <w:tr>
        <w:trPr>
          <w:cantSplit/>
        </w:trPr>
        <w:tc>
          <w:tcPr>
            <w:tcW w:type="dxa" w:w="4195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Акт</w:t>
            </w:r>
          </w:p>
        </w:tc>
        <w:tc>
          <w:tcPr>
            <w:tcW w:type="dxa" w:w="5669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Зачем он в курсе</w:t>
            </w:r>
          </w:p>
        </w:tc>
      </w:tr>
      <w:tr>
        <w:trPr>
          <w:cantSplit/>
          <w:trHeight w:val="420" w:hRule="atLeast"/>
        </w:trPr>
        <w:tc>
          <w:tcPr>
            <w:tcW w:type="dxa" w:w="4195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Гражданский кодекс РФ, часть IV</w:t>
            </w:r>
          </w:p>
        </w:tc>
        <w:tc>
          <w:tcPr>
            <w:tcW w:type="dxa" w:w="5669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Авторские и смежные права, лицензии, использование произведений</w:t>
            </w:r>
          </w:p>
        </w:tc>
      </w:tr>
      <w:tr>
        <w:trPr>
          <w:cantSplit/>
          <w:trHeight w:val="420" w:hRule="atLeast"/>
        </w:trPr>
        <w:tc>
          <w:tcPr>
            <w:tcW w:type="dxa" w:w="419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Федеральный закон от 29.12.2012 № 273-ФЗ</w:t>
            </w:r>
          </w:p>
        </w:tc>
        <w:tc>
          <w:tcPr>
            <w:tcW w:type="dxa" w:w="5669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Рамка образовательной деятельности и качества обучения</w:t>
            </w:r>
          </w:p>
        </w:tc>
      </w:tr>
      <w:tr>
        <w:trPr>
          <w:cantSplit/>
          <w:trHeight w:val="420" w:hRule="atLeast"/>
        </w:trPr>
        <w:tc>
          <w:tcPr>
            <w:tcW w:type="dxa" w:w="4195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Федеральный закон от 27.07.2006 № 149-ФЗ</w:t>
            </w:r>
          </w:p>
        </w:tc>
        <w:tc>
          <w:tcPr>
            <w:tcW w:type="dxa" w:w="5669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Общие правила работы с информацией и ее защиты</w:t>
            </w:r>
          </w:p>
        </w:tc>
      </w:tr>
      <w:tr>
        <w:trPr>
          <w:cantSplit/>
          <w:trHeight w:val="420" w:hRule="atLeast"/>
        </w:trPr>
        <w:tc>
          <w:tcPr>
            <w:tcW w:type="dxa" w:w="419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Федеральный закон от 27.07.2006 № 152-ФЗ</w:t>
            </w:r>
          </w:p>
        </w:tc>
        <w:tc>
          <w:tcPr>
            <w:tcW w:type="dxa" w:w="5669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Обработка персональных данных обучающихся и работников</w:t>
            </w:r>
          </w:p>
        </w:tc>
      </w:tr>
      <w:tr>
        <w:trPr>
          <w:cantSplit/>
          <w:trHeight w:val="420" w:hRule="atLeast"/>
        </w:trPr>
        <w:tc>
          <w:tcPr>
            <w:tcW w:type="dxa" w:w="4195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Федеральный закон от 24.11.1995 № 181-ФЗ</w:t>
            </w:r>
          </w:p>
        </w:tc>
        <w:tc>
          <w:tcPr>
            <w:tcW w:type="dxa" w:w="5669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Доступность среды для инвалидов, в том числе в образовании</w:t>
            </w:r>
          </w:p>
        </w:tc>
      </w:tr>
      <w:tr>
        <w:trPr>
          <w:cantSplit/>
          <w:trHeight w:val="420" w:hRule="atLeast"/>
        </w:trPr>
        <w:tc>
          <w:tcPr>
            <w:tcW w:type="dxa" w:w="419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Федеральный закон от 29.12.2010 № 436-ФЗ</w:t>
            </w:r>
          </w:p>
        </w:tc>
        <w:tc>
          <w:tcPr>
            <w:tcW w:type="dxa" w:w="5669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Возрастная маркировка, если контент предназначен детям</w:t>
            </w:r>
          </w:p>
        </w:tc>
      </w:tr>
      <w:tr>
        <w:trPr>
          <w:cantSplit/>
          <w:trHeight w:val="420" w:hRule="atLeast"/>
        </w:trPr>
        <w:tc>
          <w:tcPr>
            <w:tcW w:type="dxa" w:w="4195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Действующие требования СанПиН</w:t>
            </w:r>
          </w:p>
        </w:tc>
        <w:tc>
          <w:tcPr>
            <w:tcW w:type="dxa" w:w="5669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Режим экранной нагрузки и организация цифровых занятий</w:t>
            </w:r>
          </w:p>
        </w:tc>
      </w:tr>
    </w:tbl>
    <w:p>
      <w:pPr>
        <w:spacing w:after="80"/>
      </w:pPr>
    </w:p>
    <w:p>
      <w:pPr>
        <w:pStyle w:val="Heading1"/>
      </w:pPr>
      <w:r>
        <w:t>2. Авторское право на практике</w:t>
      </w:r>
    </w:p>
    <w:p>
      <w:pPr>
        <w:spacing w:after="160" w:before="0" w:line="276" w:lineRule="auto"/>
      </w:pPr>
      <w:r>
        <w:rPr>
          <w:rFonts w:ascii="Calibri" w:hAnsi="Calibri" w:cs="Calibri" w:eastAsia="Calibri"/>
          <w:b w:val="0"/>
          <w:color w:val="0F172A"/>
          <w:sz w:val="24"/>
        </w:rPr>
        <w:t>Перед любым внешним материалом пройдите четыре шага.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Определить правообладателя.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Проверить лицензию и запреты: переработка, коммерческое использование, территория.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Зафиксировать основание, по которому материал попадает в курс.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Указать автора, источник и лицензию рядом с материалом.</w:t>
      </w:r>
    </w:p>
    <w:p>
      <w:pPr>
        <w:spacing w:after="160" w:before="0" w:line="276" w:lineRule="auto"/>
      </w:pPr>
      <w:r>
        <w:rPr>
          <w:rFonts w:ascii="Calibri" w:hAnsi="Calibri" w:cs="Calibri" w:eastAsia="Calibri"/>
          <w:b w:val="0"/>
          <w:color w:val="0F172A"/>
          <w:sz w:val="24"/>
        </w:rPr>
        <w:t>Если контент делает подрядчик, в договоре заранее фиксируют, кому принадлежат исключительные права, какой объем передается и можно ли перерабатывать материал.</w:t>
      </w:r>
    </w:p>
    <w:p>
      <w:pPr>
        <w:pStyle w:val="Heading1"/>
      </w:pPr>
      <w:r>
        <w:t>3. Персональные данные</w:t>
      </w:r>
    </w:p>
    <w:p>
      <w:pPr>
        <w:spacing w:after="160" w:before="0" w:line="276" w:lineRule="auto"/>
      </w:pPr>
      <w:r>
        <w:rPr>
          <w:rFonts w:ascii="Calibri" w:hAnsi="Calibri" w:cs="Calibri" w:eastAsia="Calibri"/>
          <w:b w:val="0"/>
          <w:color w:val="0F172A"/>
          <w:sz w:val="24"/>
        </w:rPr>
        <w:t>Минимальный контур по 152-ФЗ для учебного курса: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Цель обработки названа до сбора полей.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Состав данных не шире этой цели.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Есть правовое основание обработки.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Назначены ответственные, доступы разделены по ролям.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Есть организационные и технические меры защиты.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Понятны срок хранения и порядок удаления.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0FDF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>В LMS не публикуют лишние сведения в открытом разделе, ограничивают выгрузку ведомостей и проверяют, какие данные уходят во внешние сервисы.</w:t>
            </w:r>
          </w:p>
        </w:tc>
      </w:tr>
    </w:tbl>
    <w:p>
      <w:pPr>
        <w:spacing w:after="80"/>
      </w:pPr>
    </w:p>
    <w:p>
      <w:pPr>
        <w:pStyle w:val="Heading1"/>
      </w:pPr>
      <w:r>
        <w:t>4. Локальные документы организации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Положение об электронной информационно-образовательной среде.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Политика обработки персональных данных.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Регламент использования LMS и связанных сервисов.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Положение о текущем контроле и промежуточной аттестации.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Требования к доступности учебных материалов.</w:t>
      </w:r>
    </w:p>
    <w:p>
      <w:pPr>
        <w:pStyle w:val="Heading1"/>
      </w:pPr>
      <w:r>
        <w:t>5. Чек-лист перед публикацией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Права на все материалы подтверждены.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Условия лицензий соблюдены, атрибуция стоит на месте.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Лишние персональные данные не собираются.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Роли в LMS настроены, а не оставлены «по умолчанию».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Содержание связано с целью и с ФГОС.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Есть контраст, структура, субтитры или текстовая альтернатива.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Учтены действующие санитарные требования к цифровым занятиям.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Риски записаны в паспорте ресурса, а не только проговорены устно.</w:t>
      </w:r>
    </w:p>
    <w:p>
      <w:pPr>
        <w:pStyle w:val="Heading1"/>
      </w:pPr>
      <w:r>
        <w:t>6. Как говорить об этом со студентами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«Найти в интернете» не значит «можно вставить в курс».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Персональные данные собирают под конкретную задачу.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У каждого материала должен быть понятный статус прав.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Хороший курс одновременно достигает учебной цели и не нарушает чужие права.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020" w:left="1020" w:header="34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 w:eastAsia="Calibri"/>
        <w:b w:val="0"/>
        <w:color w:val="475569"/>
        <w:sz w:val="18"/>
      </w:rPr>
      <w:t xml:space="preserve">Стр. </w:t>
    </w:r>
    <w:r>
      <w:rPr>
        <w:rFonts w:ascii="Calibri" w:hAnsi="Calibri" w:cs="Calibri" w:eastAsia="Calibri"/>
        <w:b w:val="0"/>
        <w:color w:val="475569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cs="Calibri" w:eastAsia="Calibri"/>
        <w:b w:val="0"/>
        <w:color w:val="475569"/>
        <w:sz w:val="18"/>
      </w:rPr>
      <w:t>Правовая памятка (РФ)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cs="Calibri" w:eastAsia="Calibri"/>
      <w:color w:val="0F172A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Правовая памятка (РФ)</dc:title>
  <dc:subject>Основы проектирования цифровых образовательных ресурсов</dc:subject>
  <dc:creator>Учебный комплект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Методические материалы</cp:category>
  <dc:language>ru-RU</dc:language>
</cp:coreProperties>
</file>