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  <w:shd w:val="clear" w:color="auto" w:fill="0F172A"/>
            <w:tcMar>
              <w:top w:w="160" w:type="dxa"/>
              <w:left w:w="160" w:type="dxa"/>
              <w:bottom w:w="160" w:type="dxa"/>
              <w:right w:w="160" w:type="dxa"/>
            </w:tcMar>
          </w:tcPr>
          <w:p>
            <w:r/>
            <w:r>
              <w:rPr>
                <w:rFonts w:ascii="Calibri" w:hAnsi="Calibri" w:cs="Calibri" w:eastAsia="Calibri"/>
                <w:b/>
                <w:color w:val="5EEAD4"/>
                <w:sz w:val="22"/>
              </w:rPr>
              <w:t>ДЛЯ СЛАЙДОВ СТУДЕНТОВ И ПРЕПОДАВАТЕЛЯ</w:t>
            </w:r>
          </w:p>
          <w:p>
            <w:pPr>
              <w:spacing w:before="160" w:after="120"/>
            </w:pPr>
            <w:r>
              <w:rPr>
                <w:rFonts w:ascii="Calibri" w:hAnsi="Calibri" w:cs="Calibri" w:eastAsia="Calibri"/>
                <w:b/>
                <w:color w:val="FFFFFF"/>
                <w:sz w:val="44"/>
              </w:rPr>
              <w:t>Визуальный гайд</w:t>
            </w:r>
          </w:p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color w:val="CBD5E1"/>
                <w:sz w:val="24"/>
              </w:rPr>
              <w:t>Короткие правила, чтобы презентация читалась с последнего ряда.</w:t>
            </w:r>
          </w:p>
        </w:tc>
      </w:tr>
    </w:tbl>
    <w:p/>
    <w:p>
      <w:pPr>
        <w:pStyle w:val="Heading1"/>
      </w:pPr>
      <w:r>
        <w:t>Базовый стиль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917"/>
      </w:tblGrid>
      <w:tr>
        <w:trPr>
          <w:cantSplit/>
        </w:trPr>
        <w:tc>
          <w:tcPr>
            <w:tcW w:type="dxa" w:w="2948"/>
            <w:shd w:val="clear" w:color="auto" w:fill="0F172A"/>
            <w:tcBorders>
              <w:top w:val="single" w:sz="6" w:space="0" w:color="1E293B"/>
              <w:left w:val="single" w:sz="6" w:space="0" w:color="1E293B"/>
              <w:bottom w:val="single" w:sz="6" w:space="0" w:color="1E293B"/>
              <w:right w:val="single" w:sz="6" w:space="0" w:color="1E293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FFFFFF"/>
                <w:sz w:val="20"/>
              </w:rPr>
              <w:t>Элемент</w:t>
            </w:r>
          </w:p>
        </w:tc>
        <w:tc>
          <w:tcPr>
            <w:tcW w:type="dxa" w:w="6917"/>
            <w:shd w:val="clear" w:color="auto" w:fill="0F172A"/>
            <w:tcBorders>
              <w:top w:val="single" w:sz="6" w:space="0" w:color="1E293B"/>
              <w:left w:val="single" w:sz="6" w:space="0" w:color="1E293B"/>
              <w:bottom w:val="single" w:sz="6" w:space="0" w:color="1E293B"/>
              <w:right w:val="single" w:sz="6" w:space="0" w:color="1E293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FFFFFF"/>
                <w:sz w:val="20"/>
              </w:rPr>
              <w:t>Ориентир</w:t>
            </w:r>
          </w:p>
        </w:tc>
      </w:tr>
      <w:tr>
        <w:trPr>
          <w:cantSplit/>
          <w:trHeight w:val="420" w:hRule="atLeast"/>
        </w:trPr>
        <w:tc>
          <w:tcPr>
            <w:tcW w:type="dxa" w:w="2948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0"/>
              </w:rPr>
              <w:t>Формат</w:t>
            </w:r>
          </w:p>
        </w:tc>
        <w:tc>
          <w:tcPr>
            <w:tcW w:type="dxa" w:w="6917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16:9</w:t>
            </w:r>
          </w:p>
        </w:tc>
      </w:tr>
      <w:tr>
        <w:trPr>
          <w:cantSplit/>
          <w:trHeight w:val="420" w:hRule="atLeast"/>
        </w:trPr>
        <w:tc>
          <w:tcPr>
            <w:tcW w:type="dxa" w:w="2948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0"/>
              </w:rPr>
              <w:t>Фон</w:t>
            </w:r>
          </w:p>
        </w:tc>
        <w:tc>
          <w:tcPr>
            <w:tcW w:type="dxa" w:w="6917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Светлый #F8FAFC или темный #0F172A на титуле</w:t>
            </w:r>
          </w:p>
        </w:tc>
      </w:tr>
      <w:tr>
        <w:trPr>
          <w:cantSplit/>
          <w:trHeight w:val="420" w:hRule="atLeast"/>
        </w:trPr>
        <w:tc>
          <w:tcPr>
            <w:tcW w:type="dxa" w:w="2948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0"/>
              </w:rPr>
              <w:t>Основной акцент</w:t>
            </w:r>
          </w:p>
        </w:tc>
        <w:tc>
          <w:tcPr>
            <w:tcW w:type="dxa" w:w="6917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#2563EB</w:t>
            </w:r>
          </w:p>
        </w:tc>
      </w:tr>
      <w:tr>
        <w:trPr>
          <w:cantSplit/>
          <w:trHeight w:val="420" w:hRule="atLeast"/>
        </w:trPr>
        <w:tc>
          <w:tcPr>
            <w:tcW w:type="dxa" w:w="2948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0"/>
              </w:rPr>
              <w:t>Второй акцент</w:t>
            </w:r>
          </w:p>
        </w:tc>
        <w:tc>
          <w:tcPr>
            <w:tcW w:type="dxa" w:w="6917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#0F766E</w:t>
            </w:r>
          </w:p>
        </w:tc>
      </w:tr>
      <w:tr>
        <w:trPr>
          <w:cantSplit/>
          <w:trHeight w:val="420" w:hRule="atLeast"/>
        </w:trPr>
        <w:tc>
          <w:tcPr>
            <w:tcW w:type="dxa" w:w="2948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0"/>
              </w:rPr>
              <w:t>Предупреждение</w:t>
            </w:r>
          </w:p>
        </w:tc>
        <w:tc>
          <w:tcPr>
            <w:tcW w:type="dxa" w:w="6917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#B45309</w:t>
            </w:r>
          </w:p>
        </w:tc>
      </w:tr>
      <w:tr>
        <w:trPr>
          <w:cantSplit/>
          <w:trHeight w:val="420" w:hRule="atLeast"/>
        </w:trPr>
        <w:tc>
          <w:tcPr>
            <w:tcW w:type="dxa" w:w="2948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0"/>
              </w:rPr>
              <w:t>Текст</w:t>
            </w:r>
          </w:p>
        </w:tc>
        <w:tc>
          <w:tcPr>
            <w:tcW w:type="dxa" w:w="6917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#0F172A на светлом фоне, белый на темном</w:t>
            </w:r>
          </w:p>
        </w:tc>
      </w:tr>
      <w:tr>
        <w:trPr>
          <w:cantSplit/>
          <w:trHeight w:val="420" w:hRule="atLeast"/>
        </w:trPr>
        <w:tc>
          <w:tcPr>
            <w:tcW w:type="dxa" w:w="2948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0"/>
              </w:rPr>
              <w:t>Шрифт</w:t>
            </w:r>
          </w:p>
        </w:tc>
        <w:tc>
          <w:tcPr>
            <w:tcW w:type="dxa" w:w="6917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Calibri. Если в организации принят Inter или Manrope, используйте его везде одинаково</w:t>
            </w:r>
          </w:p>
        </w:tc>
      </w:tr>
    </w:tbl>
    <w:p>
      <w:pPr>
        <w:spacing w:after="80"/>
      </w:pPr>
    </w:p>
    <w:p>
      <w:pPr>
        <w:pStyle w:val="Heading1"/>
      </w:pPr>
      <w:r>
        <w:t>Типографика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Заголовок слайда: 28–36 pt, полужирный.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Текст: 16–20 pt. Мельче 14 pt на проекторе уже плохо читается.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На слайде не больше шести коротких тезисов.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Одна мысль — один заголовок. Заголовок говорит, что делать или что запомнить.</w:t>
      </w:r>
    </w:p>
    <w:p>
      <w:pPr>
        <w:pStyle w:val="Heading1"/>
      </w:pPr>
      <w:r>
        <w:t>Макет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Поля не меньше 0,4 дюйма, важные смыслы не прижимать к краю.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Таблицы — для сравнения, нумерованные шаги — для алгоритма, карточки — для равных тезисов.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Каждый третий-четвертый слайд меняет композицию: после списка идет схема, кейс или таблица.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Декор без смысла убирать. Линия и номер полезны, случайные иконки — нет.</w:t>
      </w:r>
    </w:p>
    <w:p>
      <w:pPr>
        <w:pStyle w:val="Heading1"/>
      </w:pPr>
      <w:r>
        <w:t>Проверка за пять минут</w:t>
      </w:r>
    </w:p>
    <w:p>
      <w:pPr>
        <w:pStyle w:val="ListNumber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Смысл слайда понятен примерно за пять секунд?</w:t>
      </w:r>
    </w:p>
    <w:p>
      <w:pPr>
        <w:pStyle w:val="ListNumber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Можно ли убрать треть текста и ничего не потерять?</w:t>
      </w:r>
    </w:p>
    <w:p>
      <w:pPr>
        <w:pStyle w:val="ListNumber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Виден ли переход к следующему слайду?</w:t>
      </w:r>
    </w:p>
    <w:p>
      <w:pPr>
        <w:pStyle w:val="ListNumber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Таблица читается без увеличения?</w:t>
      </w:r>
    </w:p>
    <w:p>
      <w:pPr>
        <w:pStyle w:val="ListNumber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Есть ли слайд, на котором говорят студенты, а не только преподаватель?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020" w:bottom="1020" w:left="1020" w:header="340" w:footer="283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cs="Calibri" w:eastAsia="Calibri"/>
        <w:b w:val="0"/>
        <w:color w:val="475569"/>
        <w:sz w:val="18"/>
      </w:rPr>
      <w:t xml:space="preserve">Стр. </w:t>
    </w:r>
    <w:r>
      <w:rPr>
        <w:rFonts w:ascii="Calibri" w:hAnsi="Calibri" w:cs="Calibri" w:eastAsia="Calibri"/>
        <w:b w:val="0"/>
        <w:color w:val="475569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cs="Calibri" w:eastAsia="Calibri"/>
        <w:b w:val="0"/>
        <w:color w:val="475569"/>
        <w:sz w:val="18"/>
      </w:rPr>
      <w:t>Визуальный гайд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cs="Calibri" w:eastAsia="Calibri"/>
      <w:color w:val="0F172A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1D4ED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64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0F766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Визуальный гайд презентаций</dc:title>
  <dc:subject>Основы проектирования цифровых образовательных ресурсов</dc:subject>
  <dc:creator>Учебный комплект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Методические материалы</cp:category>
  <dc:language>ru-RU</dc:language>
</cp:coreProperties>
</file>