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ОРИЕНТИР ДЛЯ ЗАНЯТИЙ, НЕ ЮРИДИЧЕСКОЕ ЗАКЛЮЧЕНИЕ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Правовая памятка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Авторское право, персональные данные, доступность и публикация учебного цифрового контента.</w:t>
            </w:r>
          </w:p>
        </w:tc>
      </w:tr>
    </w:tbl>
    <w:p/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FF6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Перед публикацией курса сверяйте актуальные редакции нормативных актов и локальные акты своей образовательной организации. Памятка задает учебный маршрут проверки, а не заменяет юриста организации.</w:t>
            </w:r>
          </w:p>
        </w:tc>
      </w:tr>
    </w:tbl>
    <w:p>
      <w:pPr>
        <w:spacing w:after="80"/>
      </w:pPr>
    </w:p>
    <w:p>
      <w:pPr>
        <w:pStyle w:val="Heading1"/>
      </w:pPr>
      <w:r>
        <w:t>1. Нормы, которые стоит держать в поле зрения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Акт</w:t>
            </w:r>
          </w:p>
        </w:tc>
        <w:tc>
          <w:tcPr>
            <w:tcW w:type="dxa" w:w="5669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Зачем он в курсе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Гражданский кодекс РФ, часть IV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Авторские и смежные права, лицензии, использование произведений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Федеральный закон от 29.12.2012 № 273-ФЗ</w:t>
            </w:r>
          </w:p>
        </w:tc>
        <w:tc>
          <w:tcPr>
            <w:tcW w:type="dxa" w:w="566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Рамка образовательной деятельности и качества обучения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Федеральный закон от 27.07.2006 № 149-ФЗ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Общие правила работы с информацией и ее защиты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Федеральный закон от 27.07.2006 № 152-ФЗ</w:t>
            </w:r>
          </w:p>
        </w:tc>
        <w:tc>
          <w:tcPr>
            <w:tcW w:type="dxa" w:w="566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Обработка персональных данных обучающихся и работников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Федеральный закон от 24.11.1995 № 181-ФЗ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Доступность среды для инвалидов, в том числе в образовании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Федеральный закон от 29.12.2010 № 436-ФЗ</w:t>
            </w:r>
          </w:p>
        </w:tc>
        <w:tc>
          <w:tcPr>
            <w:tcW w:type="dxa" w:w="566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Возрастная маркировка, если контент предназначен детям</w:t>
            </w:r>
          </w:p>
        </w:tc>
      </w:tr>
      <w:tr>
        <w:trPr>
          <w:cantSplit/>
          <w:trHeight w:val="420" w:hRule="atLeast"/>
        </w:trPr>
        <w:tc>
          <w:tcPr>
            <w:tcW w:type="dxa" w:w="419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Действующие требования СанПиН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Режим экранной нагрузки и организация цифровых занятий</w:t>
            </w:r>
          </w:p>
        </w:tc>
      </w:tr>
    </w:tbl>
    <w:p>
      <w:pPr>
        <w:spacing w:after="80"/>
      </w:pPr>
    </w:p>
    <w:p>
      <w:pPr>
        <w:pStyle w:val="Heading1"/>
      </w:pPr>
      <w:r>
        <w:t>2. Авторское право на практике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Перед любым внешним материалом пройдите четыре шага.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Определить правообладателя.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Проверить лицензию и запреты: переработка, коммерческое использование, территория.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Зафиксировать основание, по которому материал попадает в курс.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Указать автора, источник и лицензию рядом с материалом.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Если контент делает подрядчик, в договоре заранее фиксируют, кому принадлежат исключительные права, какой объем передается и можно ли перерабатывать материал.</w:t>
      </w:r>
    </w:p>
    <w:p>
      <w:pPr>
        <w:pStyle w:val="Heading1"/>
      </w:pPr>
      <w:r>
        <w:t>3. Персональные данные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Минимальный контур по 152-ФЗ для учебного курса: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Цель обработки названа до сбора полей.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Состав данных не шире этой цели.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Есть правовое основание обработки.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Назначены ответственные, доступы разделены по ролям.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Есть организационные и технические меры защиты.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Понятны срок хранения и порядок удаления.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F0FDFA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В LMS не публикуют лишние сведения в открытом разделе, ограничивают выгрузку ведомостей и проверяют, какие данные уходят во внешние сервисы.</w:t>
            </w:r>
          </w:p>
        </w:tc>
      </w:tr>
    </w:tbl>
    <w:p>
      <w:pPr>
        <w:spacing w:after="80"/>
      </w:pPr>
    </w:p>
    <w:p>
      <w:pPr>
        <w:pStyle w:val="Heading1"/>
      </w:pPr>
      <w:r>
        <w:t>4. Локальные документы организации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Положение об электронной информационно-образовательной среде.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Политика обработки персональных данных.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Регламент использования LMS и связанных сервисов.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Положение о текущем контроле и промежуточной аттестации.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Требования к доступности учебных материалов.</w:t>
      </w:r>
    </w:p>
    <w:p>
      <w:pPr>
        <w:pStyle w:val="Heading1"/>
      </w:pPr>
      <w:r>
        <w:t>5. Чек-лист перед публикацией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Права на все материалы подтверждены.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Условия лицензий соблюдены, атрибуция стоит на месте.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Лишние персональные данные не собираются.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Роли в LMS настроены, а не оставлены «по умолчанию».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Содержание связано с целью и с ФГОС.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Есть контраст, структура, субтитры или текстовая альтернатива.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Учтены действующие санитарные требования к цифровым занятиям.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Риски записаны в паспорте ресурса, а не только проговорены устно.</w:t>
      </w:r>
    </w:p>
    <w:p>
      <w:pPr>
        <w:pStyle w:val="Heading1"/>
      </w:pPr>
      <w:r>
        <w:t>6. Как говорить об этом со студентами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«Найти в интернете» не значит «можно вставить в курс».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Персональные данные собирают под конкретную задачу.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У каждого материала должен быть понятный статус прав.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Хороший курс одновременно достигает учебной цели и не нарушает чужие права.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Правовая памятка (РФ)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Правовая памятка (РФ)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