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0F172A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r/>
            <w:r>
              <w:rPr>
                <w:rFonts w:ascii="Calibri" w:hAnsi="Calibri" w:cs="Calibri" w:eastAsia="Calibri"/>
                <w:b/>
                <w:color w:val="5EEAD4"/>
                <w:sz w:val="22"/>
              </w:rPr>
              <w:t>ТЕКУЩИЙ КОНТРОЛЬ И ЗАЧЕТ</w:t>
            </w:r>
          </w:p>
          <w:p>
            <w:pPr>
              <w:spacing w:before="160" w:after="120"/>
            </w:pPr>
            <w:r>
              <w:rPr>
                <w:rFonts w:ascii="Calibri" w:hAnsi="Calibri" w:cs="Calibri" w:eastAsia="Calibri"/>
                <w:b/>
                <w:color w:val="FFFFFF"/>
                <w:sz w:val="44"/>
              </w:rPr>
              <w:t>Банк оценочных средств</w:t>
            </w:r>
          </w:p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color w:val="CBD5E1"/>
                <w:sz w:val="24"/>
              </w:rPr>
              <w:t>Вопросы для обсуждения, ключи для преподавателя и рубрика практических работ.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cs="Calibri" w:eastAsia="Calibri"/>
          <w:b w:val="0"/>
          <w:color w:val="0F172A"/>
          <w:sz w:val="24"/>
        </w:rPr>
        <w:t>Вопросы можно использовать устно, в тесте LMS или как входной билет. Ключи вынесены отдельно, чтобы студенческую часть можно было выдать без ответов.</w:t>
      </w:r>
    </w:p>
    <w:p>
      <w:pPr>
        <w:pStyle w:val="Heading1"/>
      </w:pPr>
      <w:r>
        <w:t>Тема 1. ЦОР и правовые аспекты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1. Чем ЦОР отличается от файла, который просто выложили в сеть?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2. Какой федеральный закон прямо регулирует обработку персональных данных?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3. Что нужно проверить перед тем, как поставить в курс чужое изображение?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4. Чем открытая лицензия отличается от ситуации, когда лицензии нет?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5. Зачем при проектировании ЦОР сверяться с ФГОС?</w:t>
      </w:r>
    </w:p>
    <w:p>
      <w:pPr>
        <w:pStyle w:val="Heading1"/>
      </w:pPr>
      <w:r>
        <w:t>Тема 2. EdTech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6. Что такое адаптивное обучение на уровне конкретного курса?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7. Назовите два уместных сценария ИИ и одну границу, которую нельзя отдавать модели.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8. Какие критерии важны при выборе LMS, если бюджет уже не единственный аргумент?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9. Почему пилот надежнее демонстрации платформы на вебинаре вендора?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10. Как понять, что команда преподавателей действительно сможет работать на платформе?</w:t>
      </w:r>
    </w:p>
    <w:p>
      <w:pPr>
        <w:pStyle w:val="Heading1"/>
      </w:pPr>
      <w:r>
        <w:t>Тема 3. LMS Moodle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11. Из каких обязательных частей состоит базовая структура курса?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12. Зачем ограничивать роли, если «проще выдать всем права преподавателя»?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13. Для чего нужен банк вопросов, а не один фиксированный тест?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14. Какие показатели в LMS помогают заметить трудности до конца модуля?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15. Как проверить, что курс методически цельный?</w:t>
      </w:r>
    </w:p>
    <w:p>
      <w:pPr>
        <w:pStyle w:val="Heading1"/>
      </w:pPr>
      <w:r>
        <w:t>Тема 4. Проектирование ИС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16. Что входит в предпроектное обследование?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17. Чем диаграмма BPMN отличается от диаграммы вариантов использования UML?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18. Когда уместна итеративная модель жизненного цикла?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19. Назовите три типичные ошибки раннего проектирования.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20. Как связать диаграмму с требованием, чтобы схема не осталась картинкой?</w:t>
      </w:r>
    </w:p>
    <w:p>
      <w:r>
        <w:br w:type="page"/>
      </w:r>
    </w:p>
    <w:p>
      <w:pPr>
        <w:pStyle w:val="Heading1"/>
      </w:pPr>
      <w:r>
        <w:t>Ключи для преподавателя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EFF6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2"/>
              </w:rPr>
              <w:t>Этот раздел не выдается студентам вместе с вопросами. Формулировки короткие: на занятии ответ можно развернуть.</w:t>
            </w:r>
          </w:p>
        </w:tc>
      </w:tr>
    </w:tbl>
    <w:p>
      <w:pPr>
        <w:spacing w:after="80"/>
      </w:pP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1. Есть учебная цель, действие студента и способ проверки результата.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2. Федеральный закон от 27.07.2006 № 152-ФЗ «О персональных данных».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3. Правообладателя, вид лицензии и допустимые способы использования.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4. Открытая лицензия задает условия. Отсутствие лицензии не разрешает использование.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5. ФГОС задает ориентир результатов, с которыми связывают ресурс.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6. Траектория и сложность подстраиваются под результат обучающегося.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7. Например, черновик заданий и персональная подсказка. Граница: итоговую аттестацию подтверждает преподаватель.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8. Цели, удобство, интеграции, аналитика, безопасность, полная стоимость владения.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9. Пилот показывает реальную работу команды и скрытые ограничения.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10. По скорости осваивания, качеству поддержки и устойчивости процесса без одного энтузиаста.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11. Разделы, материалы, активности, контроль и условия завершения.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12. Так защищают данные и не размывают ответственность за курс.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13. Чтобы варианты различались, а проверка не превращалась в запоминание порядка ответов.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14. Входы, прогресс по модулям, трудные вопросы, участие в обсуждении.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15. Цель модуля, действие студента и критерий оценки говорят об одном и том же.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16. Границы, роли, процесс как есть, проблемы и ограничения.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17. BPMN описывает ход процесса. Use Case описывает цели действующих лиц на границе системы.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18. Когда требования уточняются, а результат нужен частями.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19. Нет проверки с пользователями, избыточная детализация, разрыв с целью и с реализацией.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20. У схемы есть ссылка на требование и на критерий приемки.</w:t>
      </w:r>
    </w:p>
    <w:p>
      <w:pPr>
        <w:pStyle w:val="Heading1"/>
      </w:pPr>
      <w:r>
        <w:t>Рубрика практической работы</w:t>
      </w:r>
    </w:p>
    <w:p>
      <w:pPr>
        <w:spacing w:after="160" w:before="0" w:line="276" w:lineRule="auto"/>
      </w:pPr>
      <w:r>
        <w:rPr>
          <w:rFonts w:ascii="Calibri" w:hAnsi="Calibri" w:cs="Calibri" w:eastAsia="Calibri"/>
          <w:b w:val="0"/>
          <w:color w:val="0F172A"/>
          <w:sz w:val="24"/>
        </w:rPr>
        <w:t>Каждый критерий: 0, 1 или 2 балла. Максимум — 10.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494"/>
        <w:gridCol w:w="2494"/>
        <w:gridCol w:w="2835"/>
      </w:tblGrid>
      <w:tr>
        <w:trPr>
          <w:cantSplit/>
        </w:trPr>
        <w:tc>
          <w:tcPr>
            <w:tcW w:type="dxa" w:w="2041"/>
            <w:shd w:val="clear" w:color="auto" w:fill="0F172A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Критерий</w:t>
            </w:r>
          </w:p>
        </w:tc>
        <w:tc>
          <w:tcPr>
            <w:tcW w:type="dxa" w:w="2494"/>
            <w:shd w:val="clear" w:color="auto" w:fill="0F172A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0 баллов</w:t>
            </w:r>
          </w:p>
        </w:tc>
        <w:tc>
          <w:tcPr>
            <w:tcW w:type="dxa" w:w="2494"/>
            <w:shd w:val="clear" w:color="auto" w:fill="0F172A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1 балл</w:t>
            </w:r>
          </w:p>
        </w:tc>
        <w:tc>
          <w:tcPr>
            <w:tcW w:type="dxa" w:w="2835"/>
            <w:shd w:val="clear" w:color="auto" w:fill="0F172A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2 балла</w:t>
            </w:r>
          </w:p>
        </w:tc>
      </w:tr>
      <w:tr>
        <w:trPr>
          <w:cantSplit/>
          <w:trHeight w:val="420" w:hRule="atLeast"/>
        </w:trPr>
        <w:tc>
          <w:tcPr>
            <w:tcW w:type="dxa" w:w="2041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0"/>
              </w:rPr>
              <w:t>Методическая целостность</w:t>
            </w:r>
          </w:p>
        </w:tc>
        <w:tc>
          <w:tcPr>
            <w:tcW w:type="dxa" w:w="2494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Цель, действие и проверка не связаны</w:t>
            </w:r>
          </w:p>
        </w:tc>
        <w:tc>
          <w:tcPr>
            <w:tcW w:type="dxa" w:w="2494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Связь есть частично</w:t>
            </w:r>
          </w:p>
        </w:tc>
        <w:tc>
          <w:tcPr>
            <w:tcW w:type="dxa" w:w="2835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Цель, активность и контроль собраны в одну линию</w:t>
            </w:r>
          </w:p>
        </w:tc>
      </w:tr>
      <w:tr>
        <w:trPr>
          <w:cantSplit/>
          <w:trHeight w:val="420" w:hRule="atLeast"/>
        </w:trPr>
        <w:tc>
          <w:tcPr>
            <w:tcW w:type="dxa" w:w="2041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0"/>
              </w:rPr>
              <w:t>Структура</w:t>
            </w:r>
          </w:p>
        </w:tc>
        <w:tc>
          <w:tcPr>
            <w:tcW w:type="dxa" w:w="2494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Трудно понять порядок работы</w:t>
            </w:r>
          </w:p>
        </w:tc>
        <w:tc>
          <w:tcPr>
            <w:tcW w:type="dxa" w:w="2494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Порядок в целом ясен</w:t>
            </w:r>
          </w:p>
        </w:tc>
        <w:tc>
          <w:tcPr>
            <w:tcW w:type="dxa" w:w="2835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Структура понятна без устных пояснений</w:t>
            </w:r>
          </w:p>
        </w:tc>
      </w:tr>
      <w:tr>
        <w:trPr>
          <w:cantSplit/>
          <w:trHeight w:val="420" w:hRule="atLeast"/>
        </w:trPr>
        <w:tc>
          <w:tcPr>
            <w:tcW w:type="dxa" w:w="2041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0"/>
              </w:rPr>
              <w:t>Подача</w:t>
            </w:r>
          </w:p>
        </w:tc>
        <w:tc>
          <w:tcPr>
            <w:tcW w:type="dxa" w:w="2494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Текст перегружен или не читается</w:t>
            </w:r>
          </w:p>
        </w:tc>
        <w:tc>
          <w:tcPr>
            <w:tcW w:type="dxa" w:w="2494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Читается, но неровно</w:t>
            </w:r>
          </w:p>
        </w:tc>
        <w:tc>
          <w:tcPr>
            <w:tcW w:type="dxa" w:w="2835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Спокойно, контрастно, по делу</w:t>
            </w:r>
          </w:p>
        </w:tc>
      </w:tr>
      <w:tr>
        <w:trPr>
          <w:cantSplit/>
          <w:trHeight w:val="420" w:hRule="atLeast"/>
        </w:trPr>
        <w:tc>
          <w:tcPr>
            <w:tcW w:type="dxa" w:w="2041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0"/>
              </w:rPr>
              <w:t>Применимость</w:t>
            </w:r>
          </w:p>
        </w:tc>
        <w:tc>
          <w:tcPr>
            <w:tcW w:type="dxa" w:w="2494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Результат нельзя использовать</w:t>
            </w:r>
          </w:p>
        </w:tc>
        <w:tc>
          <w:tcPr>
            <w:tcW w:type="dxa" w:w="2494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Нужна заметная доработка</w:t>
            </w:r>
          </w:p>
        </w:tc>
        <w:tc>
          <w:tcPr>
            <w:tcW w:type="dxa" w:w="2835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Можно брать на занятие или в пилот</w:t>
            </w:r>
          </w:p>
        </w:tc>
      </w:tr>
      <w:tr>
        <w:trPr>
          <w:cantSplit/>
          <w:trHeight w:val="420" w:hRule="atLeast"/>
        </w:trPr>
        <w:tc>
          <w:tcPr>
            <w:tcW w:type="dxa" w:w="2041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0"/>
              </w:rPr>
              <w:t>Правовая корректность</w:t>
            </w:r>
          </w:p>
        </w:tc>
        <w:tc>
          <w:tcPr>
            <w:tcW w:type="dxa" w:w="2494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Есть нарушения</w:t>
            </w:r>
          </w:p>
        </w:tc>
        <w:tc>
          <w:tcPr>
            <w:tcW w:type="dxa" w:w="2494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Есть пробелы без критичного нарушения</w:t>
            </w:r>
          </w:p>
        </w:tc>
        <w:tc>
          <w:tcPr>
            <w:tcW w:type="dxa" w:w="2835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Нормы РФ и локальные правила учтены</w:t>
            </w:r>
          </w:p>
        </w:tc>
      </w:tr>
    </w:tbl>
    <w:p>
      <w:pPr>
        <w:spacing w:after="80"/>
      </w:pPr>
    </w:p>
    <w:p>
      <w:pPr>
        <w:spacing w:after="160" w:before="0" w:line="276" w:lineRule="auto"/>
      </w:pPr>
      <w:r>
        <w:rPr>
          <w:rFonts w:ascii="Calibri" w:hAnsi="Calibri" w:cs="Calibri" w:eastAsia="Calibri"/>
          <w:b w:val="0"/>
          <w:color w:val="0F172A"/>
          <w:sz w:val="24"/>
        </w:rPr>
        <w:t>0–4 балла — работу нужно существенно переделать. 5–7 — базовый рабочий уровень. 8–10 — материал готов к использованию на занятии.</w:t>
      </w:r>
    </w:p>
    <w:p>
      <w:pPr>
        <w:pStyle w:val="Heading1"/>
      </w:pPr>
      <w:r>
        <w:t>Мини-проект к зачету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Один учебный модуль в LMS.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Паспорт ЦОР и сами материалы модуля.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Комплект BPMN и UML по выбранному процессу.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Заполненный правовой чек-лист и вывод по рискам.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EFF6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2"/>
              </w:rPr>
              <w:t>Защита: 7 минут выступления и 3 минуты вопросов. Студент показывает продукт, а не пересказывает определения.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1020" w:left="1020" w:header="34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cs="Calibri" w:eastAsia="Calibri"/>
        <w:b w:val="0"/>
        <w:color w:val="475569"/>
        <w:sz w:val="18"/>
      </w:rPr>
      <w:t xml:space="preserve">Стр. </w:t>
    </w:r>
    <w:r>
      <w:rPr>
        <w:rFonts w:ascii="Calibri" w:hAnsi="Calibri" w:cs="Calibri" w:eastAsia="Calibri"/>
        <w:b w:val="0"/>
        <w:color w:val="475569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cs="Calibri" w:eastAsia="Calibri"/>
        <w:b w:val="0"/>
        <w:color w:val="475569"/>
        <w:sz w:val="18"/>
      </w:rPr>
      <w:t>Банк оценочных средств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cs="Calibri" w:eastAsia="Calibri"/>
      <w:color w:val="0F172A"/>
      <w:sz w:val="24"/>
      <w:lang w:val="ru-RU" w:eastAsia="ru-RU" w:bidi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D4ED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F76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Банк оценочных средств</dc:title>
  <dc:subject>Основы проектирования цифровых образовательных ресурсов</dc:subject>
  <dc:creator>Учебный комплект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Методические материалы</cp:category>
  <dc:language>ru-RU</dc:language>
</cp:coreProperties>
</file>