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0F172A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r/>
            <w:r>
              <w:rPr>
                <w:rFonts w:ascii="Calibri" w:hAnsi="Calibri" w:cs="Calibri" w:eastAsia="Calibri"/>
                <w:b/>
                <w:color w:val="5EEAD4"/>
                <w:sz w:val="22"/>
              </w:rPr>
              <w:t>КОМПЛЕКТ К МОДУЛЮ</w:t>
            </w:r>
          </w:p>
          <w:p>
            <w:pPr>
              <w:spacing w:before="160" w:after="120"/>
            </w:pPr>
            <w:r>
              <w:rPr>
                <w:rFonts w:ascii="Calibri" w:hAnsi="Calibri" w:cs="Calibri" w:eastAsia="Calibri"/>
                <w:b/>
                <w:color w:val="FFFFFF"/>
                <w:sz w:val="44"/>
              </w:rPr>
              <w:t>Материалы для проведения занятий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color w:val="CBD5E1"/>
                <w:sz w:val="24"/>
              </w:rPr>
              <w:t>Презентации PowerPoint и методические документы Word по четырем темам модуля.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cs="Calibri" w:eastAsia="Calibri"/>
          <w:b w:val="0"/>
          <w:color w:val="0F172A"/>
          <w:sz w:val="24"/>
        </w:rPr>
        <w:t>Комплект собран по темам рабочей программы «Основы проектирования цифровых образовательных ресурсов». В правовых блоках опора — законодательство РФ. Перед занятием проверяйте актуальные редакции норм и локальные акты организации.</w:t>
      </w:r>
    </w:p>
    <w:p>
      <w:pPr>
        <w:pStyle w:val="Heading1"/>
      </w:pPr>
      <w:r>
        <w:t>Презентации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5216"/>
      </w:tblGrid>
      <w:tr>
        <w:trPr>
          <w:cantSplit/>
        </w:trPr>
        <w:tc>
          <w:tcPr>
            <w:tcW w:type="dxa" w:w="4649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Файл</w:t>
            </w:r>
          </w:p>
        </w:tc>
        <w:tc>
          <w:tcPr>
            <w:tcW w:type="dxa" w:w="5216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Когда открывать</w:t>
            </w:r>
          </w:p>
        </w:tc>
      </w:tr>
      <w:tr>
        <w:trPr>
          <w:cantSplit/>
          <w:trHeight w:val="420" w:hRule="atLeast"/>
        </w:trPr>
        <w:tc>
          <w:tcPr>
            <w:tcW w:type="dxa" w:w="4649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Тема 1. Основные понятия и классификация ЦОР.pptx</w:t>
            </w:r>
          </w:p>
        </w:tc>
        <w:tc>
          <w:tcPr>
            <w:tcW w:type="dxa" w:w="5216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Лекция о типах ЦОР, стандартах и правовом контуре</w:t>
            </w:r>
          </w:p>
        </w:tc>
      </w:tr>
      <w:tr>
        <w:trPr>
          <w:cantSplit/>
          <w:trHeight w:val="420" w:hRule="atLeast"/>
        </w:trPr>
        <w:tc>
          <w:tcPr>
            <w:tcW w:type="dxa" w:w="4649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Тема 2. Современные тенденции в EdTech.pptx</w:t>
            </w:r>
          </w:p>
        </w:tc>
        <w:tc>
          <w:tcPr>
            <w:tcW w:type="dxa" w:w="5216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Лекция о трендах, LMS и конструкторах</w:t>
            </w:r>
          </w:p>
        </w:tc>
      </w:tr>
      <w:tr>
        <w:trPr>
          <w:cantSplit/>
          <w:trHeight w:val="420" w:hRule="atLeast"/>
        </w:trPr>
        <w:tc>
          <w:tcPr>
            <w:tcW w:type="dxa" w:w="4649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Тема 3. Системы управления обучением LMS.pptx</w:t>
            </w:r>
          </w:p>
        </w:tc>
        <w:tc>
          <w:tcPr>
            <w:tcW w:type="dxa" w:w="5216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Лекция и практика по Moodle</w:t>
            </w:r>
          </w:p>
        </w:tc>
      </w:tr>
      <w:tr>
        <w:trPr>
          <w:cantSplit/>
          <w:trHeight w:val="420" w:hRule="atLeast"/>
        </w:trPr>
        <w:tc>
          <w:tcPr>
            <w:tcW w:type="dxa" w:w="4649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Тема 4. Основы проектирования информационных систем.pptx</w:t>
            </w:r>
          </w:p>
        </w:tc>
        <w:tc>
          <w:tcPr>
            <w:tcW w:type="dxa" w:w="5216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Лекции и практика по обследованию, BPMN и UML</w:t>
            </w:r>
          </w:p>
        </w:tc>
      </w:tr>
    </w:tbl>
    <w:p>
      <w:pPr>
        <w:spacing w:after="80"/>
      </w:pPr>
    </w:p>
    <w:p>
      <w:pPr>
        <w:pStyle w:val="Heading1"/>
      </w:pPr>
      <w:r>
        <w:t>Документы для преподавателя и студентов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5216"/>
      </w:tblGrid>
      <w:tr>
        <w:trPr>
          <w:cantSplit/>
        </w:trPr>
        <w:tc>
          <w:tcPr>
            <w:tcW w:type="dxa" w:w="4649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Файл</w:t>
            </w:r>
          </w:p>
        </w:tc>
        <w:tc>
          <w:tcPr>
            <w:tcW w:type="dxa" w:w="5216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Назначение</w:t>
            </w:r>
          </w:p>
        </w:tc>
      </w:tr>
      <w:tr>
        <w:trPr>
          <w:cantSplit/>
          <w:trHeight w:val="420" w:hRule="atLeast"/>
        </w:trPr>
        <w:tc>
          <w:tcPr>
            <w:tcW w:type="dxa" w:w="4649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Методический сценарий проведения занятий.docx</w:t>
            </w:r>
          </w:p>
        </w:tc>
        <w:tc>
          <w:tcPr>
            <w:tcW w:type="dxa" w:w="5216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Ход пары на 90 минут и подготовка</w:t>
            </w:r>
          </w:p>
        </w:tc>
      </w:tr>
      <w:tr>
        <w:trPr>
          <w:cantSplit/>
          <w:trHeight w:val="420" w:hRule="atLeast"/>
        </w:trPr>
        <w:tc>
          <w:tcPr>
            <w:tcW w:type="dxa" w:w="4649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Рабочая тетрадь.docx</w:t>
            </w:r>
          </w:p>
        </w:tc>
        <w:tc>
          <w:tcPr>
            <w:tcW w:type="dxa" w:w="5216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Бланки, которые студенты заполняют на практике</w:t>
            </w:r>
          </w:p>
        </w:tc>
      </w:tr>
      <w:tr>
        <w:trPr>
          <w:cantSplit/>
          <w:trHeight w:val="420" w:hRule="atLeast"/>
        </w:trPr>
        <w:tc>
          <w:tcPr>
            <w:tcW w:type="dxa" w:w="4649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Банк оценочных средств.docx</w:t>
            </w:r>
          </w:p>
        </w:tc>
        <w:tc>
          <w:tcPr>
            <w:tcW w:type="dxa" w:w="5216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Вопросы, ключи и рубрика</w:t>
            </w:r>
          </w:p>
        </w:tc>
      </w:tr>
      <w:tr>
        <w:trPr>
          <w:cantSplit/>
          <w:trHeight w:val="420" w:hRule="atLeast"/>
        </w:trPr>
        <w:tc>
          <w:tcPr>
            <w:tcW w:type="dxa" w:w="4649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Правовая памятка (РФ).docx</w:t>
            </w:r>
          </w:p>
        </w:tc>
        <w:tc>
          <w:tcPr>
            <w:tcW w:type="dxa" w:w="5216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Нормы и чек-лист перед публикацией</w:t>
            </w:r>
          </w:p>
        </w:tc>
      </w:tr>
      <w:tr>
        <w:trPr>
          <w:cantSplit/>
          <w:trHeight w:val="420" w:hRule="atLeast"/>
        </w:trPr>
        <w:tc>
          <w:tcPr>
            <w:tcW w:type="dxa" w:w="4649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Визуальный гайд презентаций.docx</w:t>
            </w:r>
          </w:p>
        </w:tc>
        <w:tc>
          <w:tcPr>
            <w:tcW w:type="dxa" w:w="5216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Как оформлять собственные слайды студентов</w:t>
            </w:r>
          </w:p>
        </w:tc>
      </w:tr>
    </w:tbl>
    <w:p>
      <w:pPr>
        <w:spacing w:after="80"/>
      </w:pPr>
    </w:p>
    <w:p>
      <w:pPr>
        <w:pStyle w:val="Heading1"/>
      </w:pPr>
      <w:r>
        <w:t>Как провести модуль</w:t>
      </w:r>
    </w:p>
    <w:p>
      <w:pPr>
        <w:pStyle w:val="ListNumber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На лекции показывайте презентацию темы и оставляйте время на кейс.</w:t>
      </w:r>
    </w:p>
    <w:p>
      <w:pPr>
        <w:pStyle w:val="ListNumber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На практике раздайте рабочую тетрадь: студенты сдают заполненные бланки.</w:t>
      </w:r>
    </w:p>
    <w:p>
      <w:pPr>
        <w:pStyle w:val="ListNumber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Текущий контроль берите из банка оценочных средств.</w:t>
      </w:r>
    </w:p>
    <w:p>
      <w:pPr>
        <w:pStyle w:val="ListNumber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В темах 1–3 держите под рукой правовую памятку.</w:t>
      </w:r>
    </w:p>
    <w:p>
      <w:pPr>
        <w:pStyle w:val="ListNumber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Зачет складывается из мини-проекта и короткой защиты.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1020" w:left="1020" w:header="34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 w:eastAsia="Calibri"/>
        <w:b w:val="0"/>
        <w:color w:val="475569"/>
        <w:sz w:val="18"/>
      </w:rPr>
      <w:t xml:space="preserve">Стр. </w:t>
    </w:r>
    <w:r>
      <w:rPr>
        <w:rFonts w:ascii="Calibri" w:hAnsi="Calibri" w:cs="Calibri" w:eastAsia="Calibri"/>
        <w:b w:val="0"/>
        <w:color w:val="475569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cs="Calibri" w:eastAsia="Calibri"/>
        <w:b w:val="0"/>
        <w:color w:val="475569"/>
        <w:sz w:val="18"/>
      </w:rPr>
      <w:t>Основы проектирования цифровых образовательных ресурсов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cs="Calibri" w:eastAsia="Calibri"/>
      <w:color w:val="0F172A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F76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 комплекта</dc:title>
  <dc:subject>Основы проектирования цифровых образовательных ресурсов</dc:subject>
  <dc:creator>Учебный комплект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Методические материалы</cp:category>
  <dc:language>ru-RU</dc:language>
</cp:coreProperties>
</file>