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94" w:rsidRDefault="002F2294">
      <w:pPr>
        <w:rPr>
          <w:noProof/>
          <w:lang w:eastAsia="ru-RU"/>
        </w:rPr>
      </w:pPr>
    </w:p>
    <w:p w:rsidR="003A7F6A" w:rsidRDefault="002F2294">
      <w:r>
        <w:rPr>
          <w:noProof/>
          <w:lang w:eastAsia="ru-RU"/>
        </w:rPr>
        <w:drawing>
          <wp:inline distT="0" distB="0" distL="0" distR="0" wp14:anchorId="3C88BF47" wp14:editId="0E0825CA">
            <wp:extent cx="5430970" cy="6334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790"/>
                    <a:stretch/>
                  </pic:blipFill>
                  <pic:spPr bwMode="auto">
                    <a:xfrm>
                      <a:off x="0" y="0"/>
                      <a:ext cx="5437334" cy="6341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F6A" w:rsidRDefault="003A7F6A" w:rsidP="003A7F6A"/>
    <w:p w:rsidR="001B366A" w:rsidRDefault="003A7F6A" w:rsidP="003A7F6A">
      <w:pPr>
        <w:tabs>
          <w:tab w:val="left" w:pos="5490"/>
        </w:tabs>
      </w:pPr>
      <w:r>
        <w:tab/>
      </w:r>
    </w:p>
    <w:p w:rsidR="003A7F6A" w:rsidRDefault="003A7F6A" w:rsidP="003A7F6A">
      <w:pPr>
        <w:tabs>
          <w:tab w:val="left" w:pos="5490"/>
        </w:tabs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З часу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виникнення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північних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берегах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"https://uk.wikipedia.org/wiki/%D0%A7%D0%BE%D1%80%D0%BD%D0%B5_%D0%BC%D0%BE%D1%80%D0%B5" \o "Чорне море" </w:instrText>
      </w:r>
      <w: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>Чорного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"https://uk.wikipedia.org/wiki/%D0%90%D0%B7%D0%BE%D0%B2%D1%81%D1%8C%D0%BA%D0%B5_%D0%BC%D0%BE%D1%80%D0%B5" \o "Азовське море" </w:instrText>
      </w:r>
      <w: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>Азовського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морів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античних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стародавніх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грецьких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міст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-держав (</w:t>
      </w:r>
      <w:hyperlink r:id="rId5" w:tooltip="VIII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VIII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–</w:t>
      </w:r>
      <w:hyperlink r:id="rId6" w:tooltip="VII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VII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ст. до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н.е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існують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відомості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збирання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донаукового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знання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території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сучасної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України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Найбільшого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розвитку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освіта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Київській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Русі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набула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часів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правління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князів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"https://uk.wikipedia.org/wiki/%D0%92%D0%BE%D0%BB%D0%BE%D0%B4%D0%B8%D0%BC%D0%B8%D1%80_%D0%92%D0%B5%D0%BB%D0%B8%D0%BA%D0%B8%D0%B9" \o "Володимир Великий" </w:instrText>
      </w:r>
      <w: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>Володимира</w:t>
      </w:r>
      <w:proofErr w:type="spellEnd"/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Великого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Ярослав Мудрий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Ярослава Мудрого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Володимир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значно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розширив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межі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держави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здійснив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реформування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місцевого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управління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результаті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вся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повнота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виконавчої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законодавчої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судової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військової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влади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зосередилася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 руках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великого князя.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Активний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розвиток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освіти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і науки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почався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хрещення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Русі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Першу школу в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"https://uk.wikipedia.org/wiki/%D0%9A%D0%B8%D1%97%D0%B2" \o "Київ" </w:instrText>
      </w:r>
      <w: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>Києві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заснував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князь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Володимир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3A7F6A" w:rsidRDefault="003A7F6A" w:rsidP="003A7F6A">
      <w:pPr>
        <w:tabs>
          <w:tab w:val="left" w:pos="5490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період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Козаччини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згодом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"https://uk.wikipedia.org/wiki/%D0%A0%D1%83%D1%97%D0%BD%D0%B0" \o "Руїна" </w:instrText>
      </w:r>
      <w: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>Руїни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відчутно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спостерігається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занепад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науки як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такої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Але, попри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жахливу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ситуацію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якій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опинилась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українська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наука, все ж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можна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відзначити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помітний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розвиток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деяких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наукових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галузей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лінгвістичної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науки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"https://uk.wikipedia.org/wiki/%D0%9B%D0%B5%D0%BA%D1%81%D0%B8%D0%BA%D0%BE%D0%B3%D1%80%D0%B0%D1%84%D1%96%D1%8F" \o "Лексикографія" </w:instrText>
      </w:r>
      <w: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>лексикографії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й</w:t>
      </w:r>
      <w:hyperlink r:id="rId8" w:tooltip="Лексикологія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лексикології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A7F6A" w:rsidRDefault="003A7F6A" w:rsidP="003A7F6A">
      <w:pPr>
        <w:tabs>
          <w:tab w:val="left" w:pos="5490"/>
        </w:tabs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На початку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XVIII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XVIII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ст.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завдяки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потужній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фінансовій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підтримці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гетьмана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"https://uk.wikipedia.org/wiki/%D0%86%D0%B2%D0%B0%D0%BD_%D0%9C%D0%B0%D0%B7%D0%B5%D0%BF%D0%B0" \o "Іван Мазепа" </w:instrText>
      </w:r>
      <w: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>Мазепи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одним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провідних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науково-освітніх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центрів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Європа" w:history="1">
        <w:proofErr w:type="spellStart"/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Європи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стає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"https://uk.wikipedia.org/wiki/%D0%9A%D0%B8%D1%94%D0%B2%D0%BE-%D0%9C%D0%BE%D0%B3%D0%B8%D0%BB%D1%8F%D0%BD%D1%81%D1%8C%D0%BA%D0%B0_%D0%B0%D0%BA%D0%B0%D0%B4%D0%B5%D0%BC%D1%96%D1%8F" \o "Києво-Могилянська академія" </w:instrText>
      </w:r>
      <w: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>Києво-Могилянська</w:t>
      </w:r>
      <w:proofErr w:type="spellEnd"/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0B0080"/>
          <w:sz w:val="21"/>
          <w:szCs w:val="21"/>
          <w:shd w:val="clear" w:color="auto" w:fill="FFFFFF"/>
        </w:rPr>
        <w:t>академія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A7F6A" w:rsidRDefault="003A7F6A" w:rsidP="003A7F6A">
      <w:pPr>
        <w:tabs>
          <w:tab w:val="left" w:pos="5490"/>
        </w:tabs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uk-UA"/>
        </w:rPr>
        <w:t xml:space="preserve">СРСР 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цей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період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значного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розвитку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набула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Наука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наука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розвивалася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громадських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засадах 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наукові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товариства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різного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профілю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Вони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об'єднували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як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аматорів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так і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знаних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вчених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рамках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ухваленої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ними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програми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досліджень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здійснювали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вільний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науковий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пошук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без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огляду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регламентуючий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вплив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владних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структур.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3A7F6A" w:rsidRPr="003A7F6A" w:rsidRDefault="003A7F6A" w:rsidP="003A7F6A">
      <w:pPr>
        <w:tabs>
          <w:tab w:val="left" w:pos="5490"/>
        </w:tabs>
        <w:rPr>
          <w:lang w:val="uk-UA"/>
        </w:rPr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Державна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система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організації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управління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науковими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дослідженнями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Україні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дає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можливість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концентрувати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орієнтувати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науку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виконання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найбільш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важливих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завдань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Управління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науковою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діяльністю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будується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за територіально-галузевим принципом.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3A7F6A" w:rsidRPr="003A7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6D"/>
    <w:rsid w:val="001B366A"/>
    <w:rsid w:val="00231097"/>
    <w:rsid w:val="002F2294"/>
    <w:rsid w:val="003A7F6A"/>
    <w:rsid w:val="004C14BE"/>
    <w:rsid w:val="00984927"/>
    <w:rsid w:val="00A020B2"/>
    <w:rsid w:val="00CB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9687"/>
  <w15:chartTrackingRefBased/>
  <w15:docId w15:val="{B472C985-D250-4ED6-A8CE-78510F05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Usual text"/>
    <w:basedOn w:val="a"/>
    <w:link w:val="a4"/>
    <w:qFormat/>
    <w:rsid w:val="00A020B2"/>
    <w:pPr>
      <w:suppressAutoHyphens/>
      <w:spacing w:after="200" w:line="360" w:lineRule="auto"/>
      <w:jc w:val="both"/>
    </w:pPr>
    <w:rPr>
      <w:rFonts w:ascii="Times New Roman" w:eastAsia="AR PL KaitiM GB" w:hAnsi="Times New Roman" w:cs="Calibri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C1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Без интервала Знак"/>
    <w:aliases w:val="Usual text Знак"/>
    <w:basedOn w:val="a0"/>
    <w:link w:val="a3"/>
    <w:rsid w:val="00A020B2"/>
    <w:rPr>
      <w:rFonts w:ascii="Times New Roman" w:eastAsia="AR PL KaitiM GB" w:hAnsi="Times New Roman" w:cs="Calibri"/>
      <w:sz w:val="28"/>
      <w:lang w:val="uk-UA"/>
    </w:rPr>
  </w:style>
  <w:style w:type="character" w:customStyle="1" w:styleId="apple-converted-space">
    <w:name w:val="apple-converted-space"/>
    <w:basedOn w:val="a0"/>
    <w:rsid w:val="003A7F6A"/>
  </w:style>
  <w:style w:type="character" w:styleId="a5">
    <w:name w:val="Hyperlink"/>
    <w:basedOn w:val="a0"/>
    <w:uiPriority w:val="99"/>
    <w:semiHidden/>
    <w:unhideWhenUsed/>
    <w:rsid w:val="003A7F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B%D0%B5%D0%BA%D1%81%D0%B8%D0%BA%D0%BE%D0%BB%D0%BE%D0%B3%D1%96%D1%8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AF%D1%80%D0%BE%D1%81%D0%BB%D0%B0%D0%B2_%D0%9C%D1%83%D0%B4%D1%80%D0%B8%D0%B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VII" TargetMode="External"/><Relationship Id="rId11" Type="http://schemas.openxmlformats.org/officeDocument/2006/relationships/hyperlink" Target="https://uk.wikipedia.org/wiki/%D0%9D%D0%B0%D1%83%D0%BA%D0%B0" TargetMode="External"/><Relationship Id="rId5" Type="http://schemas.openxmlformats.org/officeDocument/2006/relationships/hyperlink" Target="https://uk.wikipedia.org/wiki/VIII" TargetMode="External"/><Relationship Id="rId10" Type="http://schemas.openxmlformats.org/officeDocument/2006/relationships/hyperlink" Target="https://uk.wikipedia.org/wiki/%D0%84%D0%B2%D1%80%D0%BE%D0%BF%D0%B0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k.wikipedia.org/wiki/XVI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Vicodin</dc:creator>
  <cp:keywords/>
  <dc:description/>
  <cp:lastModifiedBy>Nastya Vicodin</cp:lastModifiedBy>
  <cp:revision>4</cp:revision>
  <dcterms:created xsi:type="dcterms:W3CDTF">2016-03-10T07:22:00Z</dcterms:created>
  <dcterms:modified xsi:type="dcterms:W3CDTF">2016-03-10T08:04:00Z</dcterms:modified>
</cp:coreProperties>
</file>