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95" w:lineRule="auto" w:before="1448" w:after="0"/>
        <w:ind w:left="1440" w:right="3456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**belum fact-check 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 xml:space="preserve">ISO/IEC 18033-1 Specify Encryption Systems for Data Confidentiality </w:t>
      </w:r>
    </w:p>
    <w:p>
      <w:pPr>
        <w:autoSpaceDN w:val="0"/>
        <w:tabs>
          <w:tab w:pos="1800" w:val="left"/>
        </w:tabs>
        <w:autoSpaceDE w:val="0"/>
        <w:widowControl/>
        <w:spacing w:line="295" w:lineRule="auto" w:before="514" w:after="0"/>
        <w:ind w:left="1440" w:right="446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Description: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Establishes general principles for encryption algorithms. </w:t>
      </w:r>
    </w:p>
    <w:p>
      <w:pPr>
        <w:autoSpaceDN w:val="0"/>
        <w:autoSpaceDE w:val="0"/>
        <w:widowControl/>
        <w:spacing w:line="233" w:lineRule="auto" w:before="134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Provides definitions, classification, and terminology. </w:t>
      </w:r>
    </w:p>
    <w:p>
      <w:pPr>
        <w:autoSpaceDN w:val="0"/>
        <w:autoSpaceDE w:val="0"/>
        <w:widowControl/>
        <w:spacing w:line="233" w:lineRule="auto" w:before="134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Addresses security objectives, design principles, and application scope. </w:t>
      </w:r>
    </w:p>
    <w:p>
      <w:pPr>
        <w:autoSpaceDN w:val="0"/>
        <w:autoSpaceDE w:val="0"/>
        <w:widowControl/>
        <w:spacing w:line="295" w:lineRule="auto" w:before="134" w:after="0"/>
        <w:ind w:left="1800" w:right="331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Does not prescribe specific algorithms but sets foundational context.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Supports lifecycle and operational considerations in encryption. </w:t>
      </w:r>
    </w:p>
    <w:p>
      <w:pPr>
        <w:autoSpaceDN w:val="0"/>
        <w:tabs>
          <w:tab w:pos="1800" w:val="left"/>
        </w:tabs>
        <w:autoSpaceDE w:val="0"/>
        <w:widowControl/>
        <w:spacing w:line="298" w:lineRule="auto" w:before="514" w:after="0"/>
        <w:ind w:left="1440" w:right="345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Justification: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Provides foundational guidance for secure algorithm development. </w:t>
      </w:r>
    </w:p>
    <w:p>
      <w:pPr>
        <w:autoSpaceDN w:val="0"/>
        <w:autoSpaceDE w:val="0"/>
        <w:widowControl/>
        <w:spacing w:line="298" w:lineRule="auto" w:before="132" w:after="0"/>
        <w:ind w:left="1800" w:right="388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Essential for evaluating local/national cryptographic solutions.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Supports regulatory, technical, and policy decision-making. </w:t>
      </w:r>
    </w:p>
    <w:p>
      <w:pPr>
        <w:autoSpaceDN w:val="0"/>
        <w:autoSpaceDE w:val="0"/>
        <w:widowControl/>
        <w:spacing w:line="295" w:lineRule="auto" w:before="134" w:after="0"/>
        <w:ind w:left="1800" w:right="388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Enhances compliance, security assessment, and procurement.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Serves as an educational and training resource. </w:t>
      </w:r>
    </w:p>
    <w:p>
      <w:pPr>
        <w:autoSpaceDN w:val="0"/>
        <w:autoSpaceDE w:val="0"/>
        <w:widowControl/>
        <w:spacing w:line="233" w:lineRule="auto" w:before="894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ISO/IEC 18033-6 Homomorphic Encryption</w:t>
      </w:r>
    </w:p>
    <w:p>
      <w:pPr>
        <w:autoSpaceDN w:val="0"/>
        <w:tabs>
          <w:tab w:pos="1800" w:val="left"/>
        </w:tabs>
        <w:autoSpaceDE w:val="0"/>
        <w:widowControl/>
        <w:spacing w:line="298" w:lineRule="auto" w:before="512" w:after="0"/>
        <w:ind w:left="144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Description: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Focuses on homomorphic encryption, which allows computations on encrypted data. </w:t>
      </w:r>
    </w:p>
    <w:p>
      <w:pPr>
        <w:autoSpaceDN w:val="0"/>
        <w:autoSpaceDE w:val="0"/>
        <w:widowControl/>
        <w:spacing w:line="295" w:lineRule="auto" w:before="134" w:after="0"/>
        <w:ind w:left="1800" w:right="201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Classifies HE schemes: Partially, Somewhat, and Fully Homomorphic Encryption.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Defines security objectives (e.g., IND-CPA) and performance requirements. </w:t>
      </w:r>
    </w:p>
    <w:p>
      <w:pPr>
        <w:autoSpaceDN w:val="0"/>
        <w:autoSpaceDE w:val="0"/>
        <w:widowControl/>
        <w:spacing w:line="233" w:lineRule="auto" w:before="134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Provides evaluation criteria and use-case guidance. </w:t>
      </w:r>
    </w:p>
    <w:p>
      <w:pPr>
        <w:autoSpaceDN w:val="0"/>
        <w:tabs>
          <w:tab w:pos="2160" w:val="left"/>
        </w:tabs>
        <w:autoSpaceDE w:val="0"/>
        <w:widowControl/>
        <w:spacing w:line="298" w:lineRule="auto" w:before="134" w:after="0"/>
        <w:ind w:left="1800" w:right="201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Relevant to privacy-preserving computation, cloud security, and quantum-resistant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design. </w:t>
      </w:r>
    </w:p>
    <w:p>
      <w:pPr>
        <w:autoSpaceDN w:val="0"/>
        <w:tabs>
          <w:tab w:pos="1800" w:val="left"/>
        </w:tabs>
        <w:autoSpaceDE w:val="0"/>
        <w:widowControl/>
        <w:spacing w:line="298" w:lineRule="auto" w:before="512" w:after="0"/>
        <w:ind w:left="1440" w:right="331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Justification: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Supports secure data processing and privacy-preserving technology. </w:t>
      </w:r>
    </w:p>
    <w:p>
      <w:pPr>
        <w:autoSpaceDN w:val="0"/>
        <w:autoSpaceDE w:val="0"/>
        <w:widowControl/>
        <w:spacing w:line="233" w:lineRule="auto" w:before="134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Crucial for evaluating HE schemes in government and cloud systems. </w:t>
      </w:r>
    </w:p>
    <w:p>
      <w:pPr>
        <w:autoSpaceDN w:val="0"/>
        <w:autoSpaceDE w:val="0"/>
        <w:widowControl/>
        <w:spacing w:line="233" w:lineRule="auto" w:before="132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Aids in national cryptographic innovation and post-quantum resilience. </w:t>
      </w:r>
    </w:p>
    <w:p>
      <w:pPr>
        <w:autoSpaceDN w:val="0"/>
        <w:autoSpaceDE w:val="0"/>
        <w:widowControl/>
        <w:spacing w:line="298" w:lineRule="auto" w:before="134" w:after="0"/>
        <w:ind w:left="1800" w:right="288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Provides a benchmark for regulatory frameworks and compliance. </w:t>
      </w:r>
      <w:r>
        <w:rPr>
          <w:rFonts w:ascii="Arial" w:hAnsi="Arial" w:eastAsia="Arial"/>
          <w:b w:val="0"/>
          <w:i w:val="0"/>
          <w:color w:val="000000"/>
          <w:sz w:val="22"/>
        </w:rPr>
        <w:t>●​ Enhances research, training, and collaboration in advanced cryptography.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1826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ISO/IEC 14888-3 Digital Signatures </w:t>
      </w:r>
    </w:p>
    <w:p>
      <w:pPr>
        <w:autoSpaceDN w:val="0"/>
        <w:tabs>
          <w:tab w:pos="1800" w:val="left"/>
        </w:tabs>
        <w:autoSpaceDE w:val="0"/>
        <w:widowControl/>
        <w:spacing w:line="295" w:lineRule="auto" w:before="514" w:after="0"/>
        <w:ind w:left="1440" w:right="259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Description: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Part of the ISO/IEC 14888 series focusing on digital signature mechanisms. </w:t>
      </w:r>
    </w:p>
    <w:p>
      <w:pPr>
        <w:autoSpaceDN w:val="0"/>
        <w:autoSpaceDE w:val="0"/>
        <w:widowControl/>
        <w:spacing w:line="233" w:lineRule="auto" w:before="134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Specifically defines digital signature algorithms based on discrete logarithm problems. </w:t>
      </w:r>
    </w:p>
    <w:p>
      <w:pPr>
        <w:autoSpaceDN w:val="0"/>
        <w:tabs>
          <w:tab w:pos="2160" w:val="left"/>
        </w:tabs>
        <w:autoSpaceDE w:val="0"/>
        <w:widowControl/>
        <w:spacing w:line="298" w:lineRule="auto" w:before="134" w:after="0"/>
        <w:ind w:left="1800" w:right="316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Includes widely recognized schemes such as DSA, ECDSA, and other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discrete-log-based techniques. </w:t>
      </w:r>
    </w:p>
    <w:p>
      <w:pPr>
        <w:autoSpaceDN w:val="0"/>
        <w:tabs>
          <w:tab w:pos="2160" w:val="left"/>
        </w:tabs>
        <w:autoSpaceDE w:val="0"/>
        <w:widowControl/>
        <w:spacing w:line="298" w:lineRule="auto" w:before="132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Establishes algorithm parameters, key generation, signature generation and verification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procedures. </w:t>
      </w:r>
    </w:p>
    <w:p>
      <w:pPr>
        <w:autoSpaceDN w:val="0"/>
        <w:tabs>
          <w:tab w:pos="2160" w:val="left"/>
        </w:tabs>
        <w:autoSpaceDE w:val="0"/>
        <w:widowControl/>
        <w:spacing w:line="298" w:lineRule="auto" w:before="134" w:after="0"/>
        <w:ind w:left="1800" w:right="216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Addresses cryptographic strength, implementation guidelines, and performance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considerations. </w:t>
      </w:r>
    </w:p>
    <w:p>
      <w:pPr>
        <w:autoSpaceDN w:val="0"/>
        <w:tabs>
          <w:tab w:pos="1800" w:val="left"/>
          <w:tab w:pos="2160" w:val="left"/>
        </w:tabs>
        <w:autoSpaceDE w:val="0"/>
        <w:widowControl/>
        <w:spacing w:line="329" w:lineRule="auto" w:before="512" w:after="0"/>
        <w:ind w:left="144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Justification: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Essential for secure implementation and governance of digital signature systems.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Provides formal specifications for widely used signature algorithms in PKI and identity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systems. </w:t>
      </w:r>
    </w:p>
    <w:p>
      <w:pPr>
        <w:autoSpaceDN w:val="0"/>
        <w:autoSpaceDE w:val="0"/>
        <w:widowControl/>
        <w:spacing w:line="233" w:lineRule="auto" w:before="134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Supports the evaluation, certification, and deployment of cryptographic modules. </w:t>
      </w:r>
    </w:p>
    <w:p>
      <w:pPr>
        <w:autoSpaceDN w:val="0"/>
        <w:autoSpaceDE w:val="0"/>
        <w:widowControl/>
        <w:spacing w:line="233" w:lineRule="auto" w:before="134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Assists in policy development for secure authentication and digital trust services. </w:t>
      </w:r>
    </w:p>
    <w:p>
      <w:pPr>
        <w:autoSpaceDN w:val="0"/>
        <w:autoSpaceDE w:val="0"/>
        <w:widowControl/>
        <w:spacing w:line="230" w:lineRule="auto" w:before="134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Enables alignment with international standards in cryptographic infrastructure. </w:t>
      </w:r>
    </w:p>
    <w:p>
      <w:pPr>
        <w:autoSpaceDN w:val="0"/>
        <w:autoSpaceDE w:val="0"/>
        <w:widowControl/>
        <w:spacing w:line="233" w:lineRule="auto" w:before="514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ISO/IEC 19790 Security Requirements for Cryptographic Modules </w:t>
      </w:r>
    </w:p>
    <w:p>
      <w:pPr>
        <w:autoSpaceDN w:val="0"/>
        <w:tabs>
          <w:tab w:pos="1800" w:val="left"/>
          <w:tab w:pos="2160" w:val="left"/>
        </w:tabs>
        <w:autoSpaceDE w:val="0"/>
        <w:widowControl/>
        <w:spacing w:line="319" w:lineRule="auto" w:before="512" w:after="0"/>
        <w:ind w:left="1440" w:right="187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Description: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Specifies security requirements for the design and implementation of cryptographic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modules. </w:t>
      </w:r>
    </w:p>
    <w:p>
      <w:pPr>
        <w:autoSpaceDN w:val="0"/>
        <w:autoSpaceDE w:val="0"/>
        <w:widowControl/>
        <w:spacing w:line="233" w:lineRule="auto" w:before="134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Covers four security levels for varying degrees of protection. </w:t>
      </w:r>
    </w:p>
    <w:p>
      <w:pPr>
        <w:autoSpaceDN w:val="0"/>
        <w:tabs>
          <w:tab w:pos="2160" w:val="left"/>
        </w:tabs>
        <w:autoSpaceDE w:val="0"/>
        <w:widowControl/>
        <w:spacing w:line="298" w:lineRule="auto" w:before="132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Applies to both hardware and software cryptographic modules (e.g., HSMs, smart cards,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crypto libraries). </w:t>
      </w:r>
    </w:p>
    <w:p>
      <w:pPr>
        <w:autoSpaceDN w:val="0"/>
        <w:tabs>
          <w:tab w:pos="2160" w:val="left"/>
        </w:tabs>
        <w:autoSpaceDE w:val="0"/>
        <w:widowControl/>
        <w:spacing w:line="298" w:lineRule="auto" w:before="134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Addresses areas such as cryptographic key management, physical security, operational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environment, and self-tests. </w:t>
      </w:r>
    </w:p>
    <w:p>
      <w:pPr>
        <w:autoSpaceDN w:val="0"/>
        <w:tabs>
          <w:tab w:pos="2160" w:val="left"/>
        </w:tabs>
        <w:autoSpaceDE w:val="0"/>
        <w:widowControl/>
        <w:spacing w:line="298" w:lineRule="auto" w:before="132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Harmonized with and foundational to international certification programs like FIPS 140-3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and Common Criteria.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1800" w:val="left"/>
          <w:tab w:pos="2160" w:val="left"/>
        </w:tabs>
        <w:autoSpaceDE w:val="0"/>
        <w:widowControl/>
        <w:spacing w:line="317" w:lineRule="auto" w:before="1448" w:after="0"/>
        <w:ind w:left="1440" w:right="187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Justification: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Enables development and certification of secure cryptographic modules in line with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international standards. </w:t>
      </w:r>
    </w:p>
    <w:p>
      <w:pPr>
        <w:autoSpaceDN w:val="0"/>
        <w:autoSpaceDE w:val="0"/>
        <w:widowControl/>
        <w:spacing w:line="233" w:lineRule="auto" w:before="134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Essential for national cryptographic governance and compliance verification. </w:t>
      </w:r>
    </w:p>
    <w:p>
      <w:pPr>
        <w:autoSpaceDN w:val="0"/>
        <w:tabs>
          <w:tab w:pos="2160" w:val="left"/>
        </w:tabs>
        <w:autoSpaceDE w:val="0"/>
        <w:widowControl/>
        <w:spacing w:line="295" w:lineRule="auto" w:before="134" w:after="0"/>
        <w:ind w:left="1800" w:right="201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Supports critical infrastructure protection, particularly in defense, banking, identity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systems, and telecommunications. </w:t>
      </w:r>
    </w:p>
    <w:p>
      <w:pPr>
        <w:autoSpaceDN w:val="0"/>
        <w:autoSpaceDE w:val="0"/>
        <w:widowControl/>
        <w:spacing w:line="233" w:lineRule="auto" w:before="134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Provides a benchmark for procurement, evaluation, and vendor accountability. </w:t>
      </w:r>
    </w:p>
    <w:p>
      <w:pPr>
        <w:autoSpaceDN w:val="0"/>
        <w:tabs>
          <w:tab w:pos="2160" w:val="left"/>
        </w:tabs>
        <w:autoSpaceDE w:val="0"/>
        <w:widowControl/>
        <w:spacing w:line="295" w:lineRule="auto" w:before="134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Strengthens Malaysia's capability to develop a national certification or evaluation lab for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crypto modules. </w:t>
      </w:r>
    </w:p>
    <w:p>
      <w:pPr>
        <w:autoSpaceDN w:val="0"/>
        <w:autoSpaceDE w:val="0"/>
        <w:widowControl/>
        <w:spacing w:line="233" w:lineRule="auto" w:before="514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ISO/IEC 20543 Evaluation for Cryptographic Applications </w:t>
      </w:r>
    </w:p>
    <w:p>
      <w:pPr>
        <w:autoSpaceDN w:val="0"/>
        <w:tabs>
          <w:tab w:pos="1800" w:val="left"/>
          <w:tab w:pos="2160" w:val="left"/>
        </w:tabs>
        <w:autoSpaceDE w:val="0"/>
        <w:widowControl/>
        <w:spacing w:line="319" w:lineRule="auto" w:before="512" w:after="0"/>
        <w:ind w:left="1440" w:right="230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Description: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Defines test and evaluation methods to assess cryptographic modules against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non-invasive attacks. </w:t>
      </w:r>
    </w:p>
    <w:p>
      <w:pPr>
        <w:autoSpaceDN w:val="0"/>
        <w:tabs>
          <w:tab w:pos="2160" w:val="left"/>
        </w:tabs>
        <w:autoSpaceDE w:val="0"/>
        <w:widowControl/>
        <w:spacing w:line="295" w:lineRule="auto" w:before="134" w:after="0"/>
        <w:ind w:left="1800" w:right="230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Covers threats like timing attacks, power analysis (SPA/DPA), electromagnetic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emissions, and fault injection. </w:t>
      </w:r>
    </w:p>
    <w:p>
      <w:pPr>
        <w:autoSpaceDN w:val="0"/>
        <w:tabs>
          <w:tab w:pos="2160" w:val="left"/>
        </w:tabs>
        <w:autoSpaceDE w:val="0"/>
        <w:widowControl/>
        <w:spacing w:line="298" w:lineRule="auto" w:before="134" w:after="0"/>
        <w:ind w:left="1800" w:right="230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Supports the validation of secure hardware/software without requiring invasive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tampering. </w:t>
      </w:r>
    </w:p>
    <w:p>
      <w:pPr>
        <w:autoSpaceDN w:val="0"/>
        <w:autoSpaceDE w:val="0"/>
        <w:widowControl/>
        <w:spacing w:line="230" w:lineRule="auto" w:before="134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Complements standards such as ISO/IEC 19790 and ISO/IEC 24759. </w:t>
      </w:r>
    </w:p>
    <w:p>
      <w:pPr>
        <w:autoSpaceDN w:val="0"/>
        <w:tabs>
          <w:tab w:pos="2160" w:val="left"/>
        </w:tabs>
        <w:autoSpaceDE w:val="0"/>
        <w:widowControl/>
        <w:spacing w:line="298" w:lineRule="auto" w:before="134" w:after="0"/>
        <w:ind w:left="1800" w:right="187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Provides methodologies used by evaluation labs, product developers, and national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certifiers. </w:t>
      </w:r>
    </w:p>
    <w:p>
      <w:pPr>
        <w:autoSpaceDN w:val="0"/>
        <w:tabs>
          <w:tab w:pos="1800" w:val="left"/>
          <w:tab w:pos="2160" w:val="left"/>
        </w:tabs>
        <w:autoSpaceDE w:val="0"/>
        <w:widowControl/>
        <w:spacing w:line="329" w:lineRule="auto" w:before="512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Justification: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Vital for assessing cryptographic systems in military, financial, and critical infrastructure.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Enables national evaluation facilities to test real-world resistance against side-channel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threats. </w:t>
      </w:r>
    </w:p>
    <w:p>
      <w:pPr>
        <w:autoSpaceDN w:val="0"/>
        <w:autoSpaceDE w:val="0"/>
        <w:widowControl/>
        <w:spacing w:line="233" w:lineRule="auto" w:before="132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Supports alignment with international certification practices. </w:t>
      </w:r>
    </w:p>
    <w:p>
      <w:pPr>
        <w:autoSpaceDN w:val="0"/>
        <w:autoSpaceDE w:val="0"/>
        <w:widowControl/>
        <w:spacing w:line="298" w:lineRule="auto" w:before="134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Strengthens local development and export readiness of certified cryptographic modules.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Aids in policy, procurement, and research for secure device certification.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1448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ISO/IEC 23837 Security of Cryptographic Systems </w:t>
      </w:r>
    </w:p>
    <w:p>
      <w:pPr>
        <w:autoSpaceDN w:val="0"/>
        <w:tabs>
          <w:tab w:pos="1800" w:val="left"/>
          <w:tab w:pos="2160" w:val="left"/>
        </w:tabs>
        <w:autoSpaceDE w:val="0"/>
        <w:widowControl/>
        <w:spacing w:line="317" w:lineRule="auto" w:before="514" w:after="0"/>
        <w:ind w:left="1440" w:right="187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Description: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Specifies general security requirements for the end-to-end lifecycle of cryptographic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systems. </w:t>
      </w:r>
    </w:p>
    <w:p>
      <w:pPr>
        <w:autoSpaceDN w:val="0"/>
        <w:tabs>
          <w:tab w:pos="2160" w:val="left"/>
        </w:tabs>
        <w:autoSpaceDE w:val="0"/>
        <w:widowControl/>
        <w:spacing w:line="298" w:lineRule="auto" w:before="134" w:after="0"/>
        <w:ind w:left="1800" w:right="201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Covers system design, implementation, deployment, operation, maintenance, and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decommissioning. </w:t>
      </w:r>
    </w:p>
    <w:p>
      <w:pPr>
        <w:autoSpaceDN w:val="0"/>
        <w:autoSpaceDE w:val="0"/>
        <w:widowControl/>
        <w:spacing w:line="233" w:lineRule="auto" w:before="134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Emphasizes system-level integration, not just algorithm or module-level requirements. </w:t>
      </w:r>
    </w:p>
    <w:p>
      <w:pPr>
        <w:autoSpaceDN w:val="0"/>
        <w:tabs>
          <w:tab w:pos="2160" w:val="left"/>
        </w:tabs>
        <w:autoSpaceDE w:val="0"/>
        <w:widowControl/>
        <w:spacing w:line="298" w:lineRule="auto" w:before="132" w:after="0"/>
        <w:ind w:left="1800" w:right="201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Addresses requirements such as trust anchors, key lifecycle management, secure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system architecture, and interoperability. </w:t>
      </w:r>
    </w:p>
    <w:p>
      <w:pPr>
        <w:autoSpaceDN w:val="0"/>
        <w:tabs>
          <w:tab w:pos="2160" w:val="left"/>
        </w:tabs>
        <w:autoSpaceDE w:val="0"/>
        <w:widowControl/>
        <w:spacing w:line="298" w:lineRule="auto" w:before="134" w:after="0"/>
        <w:ind w:left="1800" w:right="201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Serves as a foundation standard for building secure and trustworthy cryptographic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systems across sectors. </w:t>
      </w:r>
    </w:p>
    <w:p>
      <w:pPr>
        <w:autoSpaceDN w:val="0"/>
        <w:tabs>
          <w:tab w:pos="1800" w:val="left"/>
          <w:tab w:pos="2160" w:val="left"/>
        </w:tabs>
        <w:autoSpaceDE w:val="0"/>
        <w:widowControl/>
        <w:spacing w:line="317" w:lineRule="auto" w:before="512" w:after="0"/>
        <w:ind w:left="144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Justification: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Provides a system-level framework critical for designing secure national cryptographic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infrastructure. </w:t>
      </w:r>
    </w:p>
    <w:p>
      <w:pPr>
        <w:autoSpaceDN w:val="0"/>
        <w:tabs>
          <w:tab w:pos="2160" w:val="left"/>
        </w:tabs>
        <w:autoSpaceDE w:val="0"/>
        <w:widowControl/>
        <w:spacing w:line="298" w:lineRule="auto" w:before="134" w:after="0"/>
        <w:ind w:left="180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Enhances governance over implementation, operation, and decommissioning of crypto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systems. </w:t>
      </w:r>
    </w:p>
    <w:p>
      <w:pPr>
        <w:autoSpaceDN w:val="0"/>
        <w:autoSpaceDE w:val="0"/>
        <w:widowControl/>
        <w:spacing w:line="295" w:lineRule="auto" w:before="134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Supports compliance with international standards and best practices in system security.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Crucial for formulating national-level cryptographic policies and architecture standards. </w:t>
      </w:r>
    </w:p>
    <w:p>
      <w:pPr>
        <w:autoSpaceDN w:val="0"/>
        <w:tabs>
          <w:tab w:pos="2160" w:val="left"/>
        </w:tabs>
        <w:autoSpaceDE w:val="0"/>
        <w:widowControl/>
        <w:spacing w:line="298" w:lineRule="auto" w:before="134" w:after="0"/>
        <w:ind w:left="1800" w:right="187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Empowers local developers, integrators, and evaluators to build end-to-end secure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systems. </w:t>
      </w:r>
    </w:p>
    <w:p>
      <w:pPr>
        <w:autoSpaceDN w:val="0"/>
        <w:autoSpaceDE w:val="0"/>
        <w:widowControl/>
        <w:spacing w:line="233" w:lineRule="auto" w:before="512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ISO/IEC 15408 Evaluation criteria for IT security </w:t>
      </w:r>
    </w:p>
    <w:p>
      <w:pPr>
        <w:autoSpaceDN w:val="0"/>
        <w:tabs>
          <w:tab w:pos="1800" w:val="left"/>
          <w:tab w:pos="2160" w:val="left"/>
        </w:tabs>
        <w:autoSpaceDE w:val="0"/>
        <w:widowControl/>
        <w:spacing w:line="317" w:lineRule="auto" w:before="514" w:after="0"/>
        <w:ind w:left="1440" w:right="187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Description: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Internationally recognized as the Common Criteria (CC) for Information Technology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Security Evaluation. </w:t>
      </w:r>
    </w:p>
    <w:p>
      <w:pPr>
        <w:autoSpaceDN w:val="0"/>
        <w:tabs>
          <w:tab w:pos="2160" w:val="left"/>
        </w:tabs>
        <w:autoSpaceDE w:val="0"/>
        <w:widowControl/>
        <w:spacing w:line="298" w:lineRule="auto" w:before="134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Defines a structured framework for evaluating the security properties of IT products and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systems. </w:t>
      </w:r>
    </w:p>
    <w:p>
      <w:pPr>
        <w:autoSpaceDN w:val="0"/>
        <w:tabs>
          <w:tab w:pos="2520" w:val="left"/>
        </w:tabs>
        <w:autoSpaceDE w:val="0"/>
        <w:widowControl/>
        <w:spacing w:line="295" w:lineRule="auto" w:before="134" w:after="0"/>
        <w:ind w:left="1800" w:right="547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Composed of three parts: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○​ Part 1: Introduction and general model. </w:t>
      </w:r>
    </w:p>
    <w:p>
      <w:pPr>
        <w:autoSpaceDN w:val="0"/>
        <w:autoSpaceDE w:val="0"/>
        <w:widowControl/>
        <w:spacing w:line="233" w:lineRule="auto" w:before="134" w:after="0"/>
        <w:ind w:left="25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○​ Part 2: Security functional requirements (SFRs). </w:t>
      </w:r>
    </w:p>
    <w:p>
      <w:pPr>
        <w:autoSpaceDN w:val="0"/>
        <w:autoSpaceDE w:val="0"/>
        <w:widowControl/>
        <w:spacing w:line="233" w:lineRule="auto" w:before="134" w:after="0"/>
        <w:ind w:left="25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○​ Part 3: Security assurance requirements (SARs).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2160" w:val="left"/>
        </w:tabs>
        <w:autoSpaceDE w:val="0"/>
        <w:widowControl/>
        <w:spacing w:line="295" w:lineRule="auto" w:before="1448" w:after="0"/>
        <w:ind w:left="1800" w:right="187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Enables creation of Protection Profiles (PPs) and Security Targets (STs) for specific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system evaluations. </w:t>
      </w:r>
    </w:p>
    <w:p>
      <w:pPr>
        <w:autoSpaceDN w:val="0"/>
        <w:tabs>
          <w:tab w:pos="2160" w:val="left"/>
        </w:tabs>
        <w:autoSpaceDE w:val="0"/>
        <w:widowControl/>
        <w:spacing w:line="298" w:lineRule="auto" w:before="134" w:after="0"/>
        <w:ind w:left="180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Widely used for certifying products such as cryptographic modules, operating systems,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smart cards, and network devices. </w:t>
      </w:r>
    </w:p>
    <w:p>
      <w:pPr>
        <w:autoSpaceDN w:val="0"/>
        <w:tabs>
          <w:tab w:pos="2160" w:val="left"/>
        </w:tabs>
        <w:autoSpaceDE w:val="0"/>
        <w:widowControl/>
        <w:spacing w:line="295" w:lineRule="auto" w:before="134" w:after="0"/>
        <w:ind w:left="1800" w:right="216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Forms the basis of international mutual recognition arrangements like the CCRA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(Common Criteria Recognition Arrangement). </w:t>
      </w:r>
    </w:p>
    <w:p>
      <w:pPr>
        <w:autoSpaceDN w:val="0"/>
        <w:tabs>
          <w:tab w:pos="1800" w:val="left"/>
          <w:tab w:pos="2160" w:val="left"/>
        </w:tabs>
        <w:autoSpaceDE w:val="0"/>
        <w:widowControl/>
        <w:spacing w:line="317" w:lineRule="auto" w:before="514" w:after="0"/>
        <w:ind w:left="1440" w:right="259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Justification: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Provides the international benchmark for evaluating IT product security and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trustworthiness. </w:t>
      </w:r>
    </w:p>
    <w:p>
      <w:pPr>
        <w:autoSpaceDN w:val="0"/>
        <w:tabs>
          <w:tab w:pos="2160" w:val="left"/>
        </w:tabs>
        <w:autoSpaceDE w:val="0"/>
        <w:widowControl/>
        <w:spacing w:line="298" w:lineRule="auto" w:before="134" w:after="0"/>
        <w:ind w:left="180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Supports government procurement, ensuring only certified and evaluated products are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used in critical infrastructure. </w:t>
      </w:r>
    </w:p>
    <w:p>
      <w:pPr>
        <w:autoSpaceDN w:val="0"/>
        <w:tabs>
          <w:tab w:pos="2160" w:val="left"/>
        </w:tabs>
        <w:autoSpaceDE w:val="0"/>
        <w:widowControl/>
        <w:spacing w:line="298" w:lineRule="auto" w:before="132" w:after="0"/>
        <w:ind w:left="180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Essential for establishing a national IT security certification scheme in line with global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best practices. </w:t>
      </w:r>
    </w:p>
    <w:p>
      <w:pPr>
        <w:autoSpaceDN w:val="0"/>
        <w:tabs>
          <w:tab w:pos="2160" w:val="left"/>
        </w:tabs>
        <w:autoSpaceDE w:val="0"/>
        <w:widowControl/>
        <w:spacing w:line="295" w:lineRule="auto" w:before="134" w:after="0"/>
        <w:ind w:left="1800" w:right="244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Facilitates mutual recognition of certified Malaysian products under the CCRA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framework. </w:t>
      </w:r>
    </w:p>
    <w:p>
      <w:pPr>
        <w:autoSpaceDN w:val="0"/>
        <w:tabs>
          <w:tab w:pos="2160" w:val="left"/>
        </w:tabs>
        <w:autoSpaceDE w:val="0"/>
        <w:widowControl/>
        <w:spacing w:line="298" w:lineRule="auto" w:before="134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Equips developers and auditors with a structured approach for developing and certifying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secure IT systems. </w:t>
      </w:r>
    </w:p>
    <w:p>
      <w:pPr>
        <w:autoSpaceDN w:val="0"/>
        <w:autoSpaceDE w:val="0"/>
        <w:widowControl/>
        <w:spacing w:line="230" w:lineRule="auto" w:before="514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ISO/IEC JTC 1/SC 27 Cryptographic and Security Mechanisms including PQC. </w:t>
      </w:r>
    </w:p>
    <w:p>
      <w:pPr>
        <w:autoSpaceDN w:val="0"/>
        <w:tabs>
          <w:tab w:pos="1800" w:val="left"/>
          <w:tab w:pos="2520" w:val="left"/>
          <w:tab w:pos="2880" w:val="left"/>
        </w:tabs>
        <w:autoSpaceDE w:val="0"/>
        <w:widowControl/>
        <w:spacing w:line="350" w:lineRule="auto" w:before="514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Description: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A subcommittee of ISO/IEC JTC 1 responsible for developing international standards in: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Information security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Cybersecurity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Privacy protection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Maintains key standards such as: </w:t>
      </w:r>
      <w:r>
        <w:br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○​ ISO/IEC 27000 series (Information Security Management Systems) </w:t>
      </w:r>
      <w:r>
        <w:br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○​ ISO/IEC 15408 (Common Criteria) </w:t>
      </w:r>
      <w:r>
        <w:br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○​ ISO/IEC 19790 (Cryptographic modules) </w:t>
      </w:r>
      <w:r>
        <w:br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○​ ISO/IEC 23837, 20543, and 18033 series (Cryptographic techniques and </w:t>
      </w:r>
      <w:r>
        <w:tab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systems)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Structured into five Working Groups (WGs): </w:t>
      </w:r>
      <w:r>
        <w:br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○​ WG 1: Information security management systems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2160" w:val="left"/>
          <w:tab w:pos="2520" w:val="left"/>
        </w:tabs>
        <w:autoSpaceDE w:val="0"/>
        <w:widowControl/>
        <w:spacing w:line="338" w:lineRule="auto" w:before="1448" w:after="0"/>
        <w:ind w:left="1800" w:right="1584" w:firstLine="0"/>
        <w:jc w:val="left"/>
      </w:pP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○​ WG 2: Cryptography and security mechanisms </w:t>
      </w:r>
      <w:r>
        <w:br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○​ WG 3: Security evaluation, testing, and specification </w:t>
      </w:r>
      <w:r>
        <w:br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○​ WG 4: Security controls and services </w:t>
      </w:r>
      <w:r>
        <w:br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○​ WG 5: Identity management and privacy technologies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Acts as a global forum for experts and member countries to collaborate on developing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and maintaining security standards. </w:t>
      </w:r>
    </w:p>
    <w:p>
      <w:pPr>
        <w:autoSpaceDN w:val="0"/>
        <w:tabs>
          <w:tab w:pos="2160" w:val="left"/>
        </w:tabs>
        <w:autoSpaceDE w:val="0"/>
        <w:widowControl/>
        <w:spacing w:line="298" w:lineRule="auto" w:before="134" w:after="0"/>
        <w:ind w:left="1800" w:right="244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Supports global harmonization of trust frameworks, compliance regimes, and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cross-border cybersecurity initiatives. </w:t>
      </w:r>
    </w:p>
    <w:p>
      <w:pPr>
        <w:autoSpaceDN w:val="0"/>
        <w:tabs>
          <w:tab w:pos="1800" w:val="left"/>
        </w:tabs>
        <w:autoSpaceDE w:val="0"/>
        <w:widowControl/>
        <w:spacing w:line="298" w:lineRule="auto" w:before="512" w:after="0"/>
        <w:ind w:left="1440" w:right="230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Justification: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Strategic for aligning national security frameworks with international standards. </w:t>
      </w:r>
    </w:p>
    <w:p>
      <w:pPr>
        <w:autoSpaceDN w:val="0"/>
        <w:tabs>
          <w:tab w:pos="2160" w:val="left"/>
        </w:tabs>
        <w:autoSpaceDE w:val="0"/>
        <w:widowControl/>
        <w:spacing w:line="295" w:lineRule="auto" w:before="134" w:after="0"/>
        <w:ind w:left="1800" w:right="230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Provides early access to drafts and revisions of upcoming global cybersecurity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standards. </w:t>
      </w:r>
    </w:p>
    <w:p>
      <w:pPr>
        <w:autoSpaceDN w:val="0"/>
        <w:autoSpaceDE w:val="0"/>
        <w:widowControl/>
        <w:spacing w:line="233" w:lineRule="auto" w:before="134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Enables active participation in shaping standards relevant to Malaysia’s national interest. </w:t>
      </w:r>
    </w:p>
    <w:p>
      <w:pPr>
        <w:autoSpaceDN w:val="0"/>
        <w:autoSpaceDE w:val="0"/>
        <w:widowControl/>
        <w:spacing w:line="233" w:lineRule="auto" w:before="134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Supports development of national compliance, certification, and evaluation programs. </w:t>
      </w:r>
    </w:p>
    <w:p>
      <w:pPr>
        <w:autoSpaceDN w:val="0"/>
        <w:tabs>
          <w:tab w:pos="2160" w:val="left"/>
        </w:tabs>
        <w:autoSpaceDE w:val="0"/>
        <w:widowControl/>
        <w:spacing w:line="295" w:lineRule="auto" w:before="134" w:after="0"/>
        <w:ind w:left="180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Promotes local industry competitiveness by ensuring Malaysian products conform to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globally accepted security specifications. </w:t>
      </w:r>
    </w:p>
    <w:p>
      <w:pPr>
        <w:autoSpaceDN w:val="0"/>
        <w:tabs>
          <w:tab w:pos="2160" w:val="left"/>
        </w:tabs>
        <w:autoSpaceDE w:val="0"/>
        <w:widowControl/>
        <w:spacing w:line="298" w:lineRule="auto" w:before="134" w:after="0"/>
        <w:ind w:left="1800" w:right="216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Facilitates capacity building through exposure to global best practices and expert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networks.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144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ETSI TR 103 619: Quantum-Safe Cryptography (QSC) – Cryptographic Libraries </w:t>
      </w:r>
    </w:p>
    <w:p>
      <w:pPr>
        <w:autoSpaceDN w:val="0"/>
        <w:autoSpaceDE w:val="0"/>
        <w:widowControl/>
        <w:spacing w:line="233" w:lineRule="auto" w:before="894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ETSI GR QSC 001 – 005 (All QSC Reports)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1800" w:val="left"/>
          <w:tab w:pos="2160" w:val="left"/>
          <w:tab w:pos="2520" w:val="left"/>
        </w:tabs>
        <w:autoSpaceDE w:val="0"/>
        <w:widowControl/>
        <w:spacing w:line="350" w:lineRule="auto" w:before="1448" w:after="0"/>
        <w:ind w:left="1440" w:right="1296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FIPS (Federal Information Processing Standards) 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 xml:space="preserve">FIPS 140-3 Security Requirements for Cryptographic Modules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Description: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Specifies security requirements for cryptographic modules protecting sensitive </w:t>
      </w:r>
      <w:r>
        <w:br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information. It superseeds FIPS 140-2 and harmonized with ISO/IEC 19790:2012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Key areas covered: </w:t>
      </w:r>
      <w:r>
        <w:br/>
      </w:r>
      <w:r>
        <w:tab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○​ Physical security </w:t>
      </w:r>
      <w:r>
        <w:br/>
      </w:r>
      <w:r>
        <w:tab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○​ Key management </w:t>
      </w:r>
      <w:r>
        <w:br/>
      </w:r>
      <w:r>
        <w:tab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○​ Module interfaces </w:t>
      </w:r>
      <w:r>
        <w:br/>
      </w:r>
      <w:r>
        <w:tab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○​ Role-based access control </w:t>
      </w:r>
      <w:r>
        <w:br/>
      </w:r>
      <w:r>
        <w:tab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○​ Self-test and lifecycle management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It defines four security levels (1-4) each providing increased physical and logical security. </w:t>
      </w:r>
    </w:p>
    <w:p>
      <w:pPr>
        <w:autoSpaceDN w:val="0"/>
        <w:tabs>
          <w:tab w:pos="2160" w:val="left"/>
        </w:tabs>
        <w:autoSpaceDE w:val="0"/>
        <w:widowControl/>
        <w:spacing w:line="298" w:lineRule="auto" w:before="132" w:after="0"/>
        <w:ind w:left="1800" w:right="259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It requires cryptographic modules to undergo rigorous validation through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Cryptographic Module Validation Program (CMVP). </w:t>
      </w:r>
    </w:p>
    <w:p>
      <w:pPr>
        <w:autoSpaceDN w:val="0"/>
        <w:tabs>
          <w:tab w:pos="1800" w:val="left"/>
          <w:tab w:pos="2160" w:val="left"/>
        </w:tabs>
        <w:autoSpaceDE w:val="0"/>
        <w:widowControl/>
        <w:spacing w:line="317" w:lineRule="auto" w:before="134" w:after="0"/>
        <w:ind w:left="1440" w:right="216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Justification: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Mandatory for federal agencies and widely adopted across industries for security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assurance. </w:t>
      </w:r>
    </w:p>
    <w:p>
      <w:pPr>
        <w:autoSpaceDN w:val="0"/>
        <w:autoSpaceDE w:val="0"/>
        <w:widowControl/>
        <w:spacing w:line="233" w:lineRule="auto" w:before="134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Ensure trustworthiness and interoperability of cryptographic solutions. </w:t>
      </w:r>
    </w:p>
    <w:p>
      <w:pPr>
        <w:autoSpaceDN w:val="0"/>
        <w:tabs>
          <w:tab w:pos="2160" w:val="left"/>
        </w:tabs>
        <w:autoSpaceDE w:val="0"/>
        <w:widowControl/>
        <w:spacing w:line="295" w:lineRule="auto" w:before="134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Essential for deploying any cryptographic technology, including post-quantum algorithms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 a validated and secure module </w:t>
      </w:r>
    </w:p>
    <w:p>
      <w:pPr>
        <w:autoSpaceDN w:val="0"/>
        <w:tabs>
          <w:tab w:pos="1800" w:val="left"/>
          <w:tab w:pos="2160" w:val="left"/>
        </w:tabs>
        <w:autoSpaceDE w:val="0"/>
        <w:widowControl/>
        <w:spacing w:line="334" w:lineRule="auto" w:before="514" w:after="0"/>
        <w:ind w:left="1440" w:right="1728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FIPS 203 Module-Lattice-Based Key Encapsulation Mechanism (ML-KEM)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Description: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Specifies a module-lattice-based key encapsulation mechanism (KEM), based on the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CRYSTALS-Kyber algorithm, selected during NIST’s post-quantum cryptography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standardization process. </w:t>
      </w:r>
    </w:p>
    <w:p>
      <w:pPr>
        <w:autoSpaceDN w:val="0"/>
        <w:autoSpaceDE w:val="0"/>
        <w:widowControl/>
        <w:spacing w:line="233" w:lineRule="auto" w:before="134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It provides quantum-resistant key exchange capabilities. </w:t>
      </w:r>
    </w:p>
    <w:p>
      <w:pPr>
        <w:autoSpaceDN w:val="0"/>
        <w:tabs>
          <w:tab w:pos="1800" w:val="left"/>
        </w:tabs>
        <w:autoSpaceDE w:val="0"/>
        <w:widowControl/>
        <w:spacing w:line="334" w:lineRule="auto" w:before="132" w:after="0"/>
        <w:ind w:left="1440" w:right="1440" w:firstLine="0"/>
        <w:jc w:val="left"/>
      </w:pP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Designed to be efficient and secure even in the presence of quantum computers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Intended to replace or augment traditional KEMs like RSA or ECC-based ones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Justification: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Foundational PQC standard - supports quantum-resilient secure key exchange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FIPS 203 algorithms are performance-efficient and suitable for a wide range of devices. </w:t>
      </w:r>
    </w:p>
    <w:p>
      <w:pPr>
        <w:autoSpaceDN w:val="0"/>
        <w:tabs>
          <w:tab w:pos="2160" w:val="left"/>
        </w:tabs>
        <w:autoSpaceDE w:val="0"/>
        <w:widowControl/>
        <w:spacing w:line="298" w:lineRule="auto" w:before="134" w:after="0"/>
        <w:ind w:left="1800" w:right="201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Adoption is critical for future-proofing cryptographic infrastructure against quantum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threats.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1800" w:val="left"/>
          <w:tab w:pos="2160" w:val="left"/>
        </w:tabs>
        <w:autoSpaceDE w:val="0"/>
        <w:widowControl/>
        <w:spacing w:line="329" w:lineRule="auto" w:before="1448" w:after="0"/>
        <w:ind w:left="1440" w:right="1584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FIPS 204 Module-Lattice-Based Digital Signature Algorithm (ML-DSA)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Description: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Defines a digital signature algorithm based on CRYSTALS-Dilithium, another winner of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 NIST PQC competition. </w:t>
      </w:r>
    </w:p>
    <w:p>
      <w:pPr>
        <w:autoSpaceDN w:val="0"/>
        <w:autoSpaceDE w:val="0"/>
        <w:widowControl/>
        <w:spacing w:line="230" w:lineRule="auto" w:before="134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Offers strong security based on lattice problems. </w:t>
      </w:r>
    </w:p>
    <w:p>
      <w:pPr>
        <w:autoSpaceDN w:val="0"/>
        <w:tabs>
          <w:tab w:pos="2160" w:val="left"/>
        </w:tabs>
        <w:autoSpaceDE w:val="0"/>
        <w:widowControl/>
        <w:spacing w:line="298" w:lineRule="auto" w:before="134" w:after="0"/>
        <w:ind w:left="1800" w:right="216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Designed to replace legacy digital signature schemes (like RSA or ECDSA) in a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post-quantum world. </w:t>
      </w:r>
    </w:p>
    <w:p>
      <w:pPr>
        <w:autoSpaceDN w:val="0"/>
        <w:autoSpaceDE w:val="0"/>
        <w:widowControl/>
        <w:spacing w:line="233" w:lineRule="auto" w:before="134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Emphasizes high performance and robustness. </w:t>
      </w:r>
    </w:p>
    <w:p>
      <w:pPr>
        <w:autoSpaceDN w:val="0"/>
        <w:autoSpaceDE w:val="0"/>
        <w:widowControl/>
        <w:spacing w:line="319" w:lineRule="auto" w:before="132" w:after="0"/>
        <w:ind w:left="1800" w:right="1440" w:hanging="36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Justification: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Primary candidate for quantum-safe digital signatures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Suitable for a broad spectrum of applications - from secure email to firmware validation. </w:t>
      </w:r>
    </w:p>
    <w:p>
      <w:pPr>
        <w:autoSpaceDN w:val="0"/>
        <w:tabs>
          <w:tab w:pos="1800" w:val="left"/>
          <w:tab w:pos="2160" w:val="left"/>
        </w:tabs>
        <w:autoSpaceDE w:val="0"/>
        <w:widowControl/>
        <w:spacing w:line="348" w:lineRule="auto" w:before="512" w:after="0"/>
        <w:ind w:left="1440" w:right="144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FIPS 205 Stateless Hash-Based Signature Scheme (SLH-DSA_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Description: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Defines a stateless hash-based digital signature algorithm derived from the SPHINCS+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family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Stateless design to avoid risk of key reuse errors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Suitable for high-assurance environments where long-term security is crucial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Justification: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An alternative or backup to lattice-based schemes with different security assumptions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Offers conservatism and robustness, useful for long-term digital signatures such as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software signing or archival records. </w:t>
      </w:r>
    </w:p>
    <w:p>
      <w:pPr>
        <w:autoSpaceDN w:val="0"/>
        <w:tabs>
          <w:tab w:pos="2160" w:val="left"/>
        </w:tabs>
        <w:autoSpaceDE w:val="0"/>
        <w:widowControl/>
        <w:spacing w:line="295" w:lineRule="auto" w:before="134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Diversity in post-quantum approaches helps mitigate risks from unforeseen cryptanalytic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advances </w:t>
      </w:r>
    </w:p>
    <w:p>
      <w:pPr>
        <w:autoSpaceDN w:val="0"/>
        <w:tabs>
          <w:tab w:pos="1800" w:val="left"/>
          <w:tab w:pos="2160" w:val="left"/>
        </w:tabs>
        <w:autoSpaceDE w:val="0"/>
        <w:widowControl/>
        <w:spacing w:line="334" w:lineRule="auto" w:before="514" w:after="0"/>
        <w:ind w:left="1440" w:right="1728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FIPS 197 Advanced Encryption Standard (AES)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Description: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Specifies the Advanced Encryption Standard (AES), a symmetric block cipher used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globally to encrypt sensitive data. It supports key sizes of 128, 192, and 256 bits and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operates on 128-bit blocks. </w:t>
      </w:r>
    </w:p>
    <w:p>
      <w:pPr>
        <w:autoSpaceDN w:val="0"/>
        <w:tabs>
          <w:tab w:pos="1800" w:val="left"/>
        </w:tabs>
        <w:autoSpaceDE w:val="0"/>
        <w:widowControl/>
        <w:spacing w:line="295" w:lineRule="auto" w:before="134" w:after="0"/>
        <w:ind w:left="1440" w:right="244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Justification: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AES is the foundation of the modern encryption for data at rest and in transit. </w:t>
      </w:r>
    </w:p>
    <w:p>
      <w:pPr>
        <w:autoSpaceDN w:val="0"/>
        <w:autoSpaceDE w:val="0"/>
        <w:widowControl/>
        <w:spacing w:line="233" w:lineRule="auto" w:before="134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Strong resistance to classical cryptanalysis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2160" w:val="left"/>
        </w:tabs>
        <w:autoSpaceDE w:val="0"/>
        <w:widowControl/>
        <w:spacing w:line="317" w:lineRule="auto" w:before="1448" w:after="0"/>
        <w:ind w:left="180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Still considered quantum-resistant for symmetric encryption when used with larger key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sizes (e.g., AES-256)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Remains critical in hybrid post-quantum encryption systems. </w:t>
      </w:r>
    </w:p>
    <w:p>
      <w:pPr>
        <w:autoSpaceDN w:val="0"/>
        <w:tabs>
          <w:tab w:pos="1800" w:val="left"/>
          <w:tab w:pos="2160" w:val="left"/>
        </w:tabs>
        <w:autoSpaceDE w:val="0"/>
        <w:widowControl/>
        <w:spacing w:line="329" w:lineRule="auto" w:before="514" w:after="0"/>
        <w:ind w:left="1440" w:right="144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FIPS 180-4 Secure Hash Standard (SHS)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Description: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Defines the SHA family of cryptographic has functions: SHA-1, SHA-224, SHA-256,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SHA-384 and SHA-512. SHA-1 is deprecated for many uses due to known weaknesses. </w:t>
      </w:r>
    </w:p>
    <w:p>
      <w:pPr>
        <w:autoSpaceDN w:val="0"/>
        <w:tabs>
          <w:tab w:pos="1800" w:val="left"/>
          <w:tab w:pos="2160" w:val="left"/>
        </w:tabs>
        <w:autoSpaceDE w:val="0"/>
        <w:widowControl/>
        <w:spacing w:line="319" w:lineRule="auto" w:before="132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Justification: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Hash functions are a cornerstone of cryptographic operations (e.g., signatures, HMACs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key derivation). </w:t>
      </w:r>
    </w:p>
    <w:p>
      <w:pPr>
        <w:autoSpaceDN w:val="0"/>
        <w:tabs>
          <w:tab w:pos="2160" w:val="left"/>
        </w:tabs>
        <w:autoSpaceDE w:val="0"/>
        <w:widowControl/>
        <w:spacing w:line="317" w:lineRule="auto" w:before="134" w:after="0"/>
        <w:ind w:left="1800" w:right="187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SHA-2 family is secure against both classical and known quantum attacks (Grover’s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algorithms gives a quadratic speedup not exponential)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Continued relevance in both classical and post-quantum cryptography </w:t>
      </w:r>
    </w:p>
    <w:p>
      <w:pPr>
        <w:autoSpaceDN w:val="0"/>
        <w:tabs>
          <w:tab w:pos="1800" w:val="left"/>
          <w:tab w:pos="2160" w:val="left"/>
          <w:tab w:pos="2520" w:val="left"/>
        </w:tabs>
        <w:autoSpaceDE w:val="0"/>
        <w:widowControl/>
        <w:spacing w:line="353" w:lineRule="auto" w:before="514" w:after="0"/>
        <w:ind w:left="1440" w:right="144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FIPS 186-5 Digital Signature Standard (DSS)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Description: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Defines digital signature algorithms including: </w:t>
      </w:r>
      <w:r>
        <w:br/>
      </w:r>
      <w:r>
        <w:tab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○​ DSA (Discrete Algorithm) </w:t>
      </w:r>
      <w:r>
        <w:br/>
      </w:r>
      <w:r>
        <w:tab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○​ RSA (Rivest-Shamir-Adleman) </w:t>
      </w:r>
      <w:r>
        <w:br/>
      </w:r>
      <w:r>
        <w:tab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○​ ECDSA (Elliptic Curve DSA)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Includes key generation, signature generation and verification procedures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Justification: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Provides authentication, integrity, and non-repudiation in digital communications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Classical algorithm are vulnerable to quantum attacks (e.g., Shor’s algorithm breaks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RSA and ECC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Necessary during transition periods where hybrid (classical + PQ) signing is required for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backward compatibility 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 xml:space="preserve">FIPS 198-1 HMAC (Keyed-Hash Message Authentication Code)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Description: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Defines a method for using cryptographic hash function (e.g, SHA-256) to produce a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message authentication code (MAC)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Justification: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Widely used for data integrity and authenticity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1800" w:val="left"/>
          <w:tab w:pos="2160" w:val="left"/>
        </w:tabs>
        <w:autoSpaceDE w:val="0"/>
        <w:widowControl/>
        <w:spacing w:line="350" w:lineRule="auto" w:before="1448" w:after="0"/>
        <w:ind w:left="1440" w:right="1584" w:firstLine="0"/>
        <w:jc w:val="left"/>
      </w:pP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HMACs based on SHA-2 remain resistant to quantum attacks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Fundamental component in hybrid cryptography systems and secure protocols (e.g.,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TLS, IPsec) 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 xml:space="preserve">FIPS 199 Standards for Security Categorization of Federal Information and Information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Systems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Description: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Provides guidance for categorizing systems based on confidentiality, integrity, and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availability (CIA) impacts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Justification: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While not algorithm-specific, it helps organizations identify required cryptographic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protections based on risk levels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●​ Drives the selection and implementation of appropriate cryptographic mechanism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1800" w:val="left"/>
        </w:tabs>
        <w:autoSpaceDE w:val="0"/>
        <w:widowControl/>
        <w:spacing w:line="295" w:lineRule="auto" w:before="1448" w:after="0"/>
        <w:ind w:left="144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ITU-T (International Telecommunication Union - Telecommunication Standardization Sector)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1.​ Y.3800 Overview on networks supporting quantum key distribution. </w:t>
      </w:r>
    </w:p>
    <w:p>
      <w:pPr>
        <w:autoSpaceDN w:val="0"/>
        <w:autoSpaceDE w:val="0"/>
        <w:widowControl/>
        <w:spacing w:line="298" w:lineRule="auto" w:before="134" w:after="0"/>
        <w:ind w:left="180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2.​ H.234 Encryption key management and authentication system for audiovisual services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3.​ ITU-T QKD Standards </w:t>
      </w:r>
    </w:p>
    <w:p>
      <w:pPr>
        <w:autoSpaceDN w:val="0"/>
        <w:autoSpaceDE w:val="0"/>
        <w:widowControl/>
        <w:spacing w:line="298" w:lineRule="auto" w:before="512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Key Management Interoperability Protocol (KMIP) - a protocol for managing cryptographic keys,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with updates to support PQC algorithms </w:t>
      </w:r>
    </w:p>
    <w:p>
      <w:pPr>
        <w:autoSpaceDN w:val="0"/>
        <w:autoSpaceDE w:val="0"/>
        <w:widowControl/>
        <w:spacing w:line="317" w:lineRule="auto" w:before="1272" w:after="0"/>
        <w:ind w:left="1800" w:right="3600" w:hanging="36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Transition Guidelines and Roadmaps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1.​ NIST IR 8547 Guidelines for transitioning to PQC standards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2.​ GSMA PQC guidelines: recommendations for telecom use cases </w:t>
      </w:r>
    </w:p>
    <w:sectPr w:rsidR="00FC693F" w:rsidRPr="0006063C" w:rsidSect="00034616">
      <w:pgSz w:w="12240" w:h="15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