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16${agreementID}</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${client_name}</w:t>
      </w:r>
      <w:bookmarkStart w:id="0" w:name="_GoBack"/>
      <w:bookmarkEnd w:id="0"/>
      <w:r w:rsidR="005D0F61">
        <w:t>,</w:t>
      </w:r>
      <w:r w:rsidR="001B6D6C">
        <w:t xml:space="preserve"> </w:t>
      </w:r>
      <w:r w:rsidR="005B6764" w:rsidRPr="00FF0759">
        <w:t xml:space="preserve">įmonės kodas </w:t>
      </w:r>
      <w:r w:rsidR="00CB6DB6" w:rsidRPr="00CB6DB6">
        <w:rPr>
          <w:b/>
        </w:rPr>
        <w:t>${imones_kodas}</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${contact_name}</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${client_website}</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${order_date}</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${client_name}</w:t>
            </w:r>
          </w:p>
          <w:p w:rsidR="005B6764" w:rsidRDefault="005B6764" w:rsidP="00E26BE4">
            <w:pPr>
              <w:spacing w:after="0"/>
            </w:pPr>
            <w:r w:rsidRPr="008D2467">
              <w:t xml:space="preserve">Į.k. </w:t>
            </w:r>
            <w:r w:rsidR="00CB6DB6">
              <w:t>${imones_kodas}</w:t>
            </w:r>
          </w:p>
          <w:p w:rsidR="005B6764" w:rsidRDefault="005B6764" w:rsidP="00E26BE4">
            <w:pPr>
              <w:spacing w:after="0"/>
            </w:pPr>
            <w:r w:rsidRPr="008D2467">
              <w:t xml:space="preserve">Adresas: </w:t>
            </w:r>
            <w:r w:rsidR="00CB6DB6">
              <w:t>${client_address}</w:t>
            </w:r>
          </w:p>
          <w:p w:rsidR="005B6764" w:rsidRDefault="005B6764" w:rsidP="00E26BE4">
            <w:pPr>
              <w:spacing w:after="0"/>
            </w:pPr>
            <w:r w:rsidRPr="008D2467">
              <w:t>Tel. :</w:t>
            </w:r>
            <w:r w:rsidR="00CB6DB6">
              <w:t xml:space="preserve"> ${client_phone}</w:t>
            </w:r>
          </w:p>
          <w:p w:rsidR="005B6764" w:rsidRDefault="005B6764" w:rsidP="00E26BE4">
            <w:pPr>
              <w:spacing w:after="0"/>
            </w:pPr>
            <w:r>
              <w:t>El. Pašt</w:t>
            </w:r>
            <w:r w:rsidRPr="008D2467">
              <w:t xml:space="preserve">as: </w:t>
            </w:r>
            <w:r w:rsidR="00CB6DB6">
              <w:t>${client_mail}</w:t>
            </w:r>
          </w:p>
          <w:p w:rsidR="005B6764" w:rsidRDefault="005B6764" w:rsidP="00E26BE4">
            <w:pPr>
              <w:spacing w:after="0"/>
            </w:pPr>
            <w:r w:rsidRPr="008D2467">
              <w:t xml:space="preserve">PVM kodas: </w:t>
            </w:r>
            <w:r w:rsidR="00CB6DB6">
              <w:t>${pvm_code}</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${contact_name}</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