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Alinhar a severidade e o status dos alertas aos valores do banco FluxID e validar a faixa de latitude e longitude enviada pelo lacre.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 de Natã da Silva Baracho: resolver os achados ALT-12 (severidade sem catálogo) e TEL-13 (coordenadas fora da faixa), usando os mesmos valores do banco FluxID.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Severidade em texto (BAIXA, MEDIA, ALTA, CRITICA), opcional e com um padrão por tipo de alerta; status ABERTO, EM_ANALISE ou ENCERRADO, sempre definido pelo servidor; campos antigos ignorados sem quebrar o firmware; latitude ou longitude fora da faixa, ou só uma das duas, respondem 400; migração automática da tabela de alertas antiga.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Usar os mesmos valores do FluxID evita conversão na sincronização. A equipe exigiu a migração dos alertas já gravados, para não perder dados, e que o firmware antigo continuasse funcionando.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Suíte automatizada com 55 de 55 casos; migração testada com alertas gravados; Roteiro conforme no oxide.db real, com o banco restaurado idêntico (checksum SHA-256 igual). Aprovado por Natã da Silva Baracho.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as recomendações foram aceitas depois de conferidas com as regras do FluxID e mantidas após os testes.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Relatorio-de-Teste-2026-10-06-19h28.md; PlanoDeTeste.md v1.4; RoteiroDeTeste.md v1.5; regras CHECK do dump FluxID.sql; PR #3.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