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Fechar as decisões que orientam a sincronização da Oxide com o FluxID e organizar a documentação: papel de cada parte do sistema e histórico dos PRs por funcionalidade.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 de Natã da Silva Baracho: explicar e decidir as questões P1 a P8 do plano de integração; colocar no Desenvolvimento.md o que fazem a API, a Oxide, o FluxID e o Worker; juntar os PRs separando por funcionalidade; atualizar o checklist.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IA apresentou cada questão com opções e uma recomendação. Decisões registradas: P1 hora de chegada; P2 telemetria sem GPS em quarentena; P3 evento espera o vínculo do lacre; P4 tabela de eventos do dispositivo; P5 todos os códigos do catálogo; P6 cinco novas tentativas (de 1 minuto a 6 horas); P7 código do alerta gerado pela API; P8 o sistema só marca suspeita de violação; alerta desenhado na posição atual do lacre.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Algumas respostas do responsável mudaram a recomendação da IA (por exemplo, P7: a API gera o alerta e envia ao banco). As questões que não estavam claras (P5 e P6) foram explicadas de novo antes da decisão.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Questionários respondidos (6 de 6 e 3 de 3 "sim") e aprovação de Natã da Silva Baracho; conferência dos documentos Integracao-Oxide-FluxID.md v1.1, Desenvolvimento.md e Checklist-Projeto.md.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as decisões finais são do responsável; a IA só organizou as opções e registrou o que foi decidido.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Integracao-Oxide-FluxID.md v1.1; Desenvolvimento.md (seção 1.1 e Parte 3); Checklist-Projeto.md; PRs #9, #10 e #11.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