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Reorganizar o projeto depois da descoberta de que o banco principal é o Supabase do frontend e de que a Oxide ficou complexa demais.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Mensagem de Natã da Silva Baracho: a API não vai se integrar ao frontend inteiro; ela será responsável por enviar os dados do lacre para o banco principal, que é o Supabase do projeto fluxid_integra2026; a Oxide está muito complexa; o lacre manda as mensagens em JSON e a API precisa ler, interpretar e mandar para o banco; bateria, latitude e longitude devem ser obrigatórias; o que dá para enxugar nas tabelas da Oxide?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conferiu que o Supabase não tem nenhuma tabela para o lacre e propôs o fluxo lacre → API → fila mínima → Worker → Supabase, com a Oxide reduzida de 11 para 3 tabelas (dispositivos, mensagens e comandos). Também preparou, na voz do Natã, um resumo do projeto e 8 perguntas para o professor Alisson, responsável pelo frontend e pelo Supabase.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observou que o SQLite em si é leve: o peso vinha da quantidade de tabelas e de código e das regras que liam o banco principal a cada 10 segundos. As decisões dependem do professor Alisson, dono do Supabase, por isso nada foi programado antes das respostas.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Natã da Silva Baracho revisou a proposta e o texto e encaminhou o resumo e as perguntas ao professor Alisson. As respostas estão pendentes.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 resumo e as perguntas foram enviados como estavam; a implementação aguarda as respostas.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Repositório fluxid_integra2026 (21 tabelas do Supabase, nenhuma do lacre); código e tabelas da Oxide; documentos do projeto.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