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Levar os dados do lacre da Oxide para o FluxID e trazer o cadastro oficial de volta, sem perder nem duplicar dados.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Baracho: "deixe tudo pronto sobre o lacre e a integração da API com os dois bancos, usando o FluxID como banco principal; se for necessário replicar o banco que o frontend está fazendo, faça, mas integrado com a Oxide; no final gere um relatório para eu validar".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Worker (npm run worker): envia telemetria, eventos e alertas, uma linha por transação; cinco novas tentativas; FluxID fora do ar não gasta tentativa; quarentena e espera do vínculo; traz o cadastro e o hash da chave dos dispositivos; rotas de acompanhamento /api/v1/sync/*; scripts 004 (decisões P1 a P8 e gatilho do par lacre e cilindro) e 005 (estruturas do frontend e histórico do cilindro).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apresentou sete escolhas de implementação e quatro pontos do frontend para a equipe decidir. A conexão com o banco fica só no arquivo .env, fora do Git.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Teste formal do Roteiro (seção do Worker) contra o FluxID do Docker, sem falhas; suíte com 96 de 96 casos; questionário com 15 de 15 "sim". Aprovado por Natã da Silva Baracho em 07/10/2026.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as escolhas de implementação foram validadas pela equipe antes de entrar na main.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Relatorio-de-Teste-2026-10-07-01h30.md; Integracao-Oxide-FluxID.md v2.0; Banco_FluxID.md (seções 17.6 e 17.7); PRs #15 e #16.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