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Alinhar a severidade e o status dos alertas aos valores do banco FluxID e validar a faixa de latitude e longitude enviada pelo lacre.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dois achados em aberto do plano de teste: ALT-12 (severidade sem catálogo) e TEL-13 (coordenadas fora da faixa). Tarefa: corrigir os dois achados. Restrições: usar os mesmos valores de severidade do banco FluxID. Entrega esperada: código, testes e relatório.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Severidade em texto (BAIXA, MEDIA, ALTA, CRITICA), opcional e com um padrão por tipo de alerta; status ABERTO, EM_ANALISE ou ENCERRADO, sempre definido pelo servidor; campos antigos ignorados sem quebrar o firmware; latitude ou longitude fora da faixa, ou só uma das duas, respondem 400; migração automática da tabela de alertas antiga.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Usar os mesmos valores do FluxID evita conversão na sincronização. A equipe exigiu a migração dos alertas já gravados, para não perder dados, e que o firmware antigo continuasse funcionando.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o relatório de teste, conferiu os resultados com o que tinha pedido e respondeu o questionário de validação. Aprovou a entrega em 06/10/2026. Evidências do relatório: suíte com 55 de 55 casos; migração testada com alertas já gravados; roteiro conforme no oxide.db real, com o banco restaurado idêntico (checksum SHA-256 igual). Os testes foram executados pela IA; a decisão de aprovar foi do responsável.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as recomendações foram aceitas depois de conferidas com as regras do FluxID e mantidas após os testes.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Relatorio-de-Teste-2026-10-06-19h28.md; PlanoDeTeste.md v1.4; RoteiroDeTeste.md v1.5; regras CHECK do dump FluxID.sql; PR #3.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