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Garantir no FluxID que todo alerta tenha o lacre e o cilindro do momento do alarme, para a auditoria provar que o lacre estava no cilindro do cliente.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ao examinar o banco FluxID no pgAdmin, o responsável viu alertas sem cilindro. Tarefa: tornar obrigatórios o cilindro e o lacre em cada alerta, porque o alarme é do lacre que está naquele cilindro. Restrições: mudar só o FluxID, não a Oxide; não acessar o banco principal; testar num servidor temporário. Entrega esperada: script de migração que pode rodar mais de uma vez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Script 003: preenche os alertas sem cilindro pelo vínculo válido na data do alerta; se sobrar algum fora da regra, para e lista os códigos sem alterar nada; cria a regra no banco, com exceção só para os códigos de cadastro.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equipe pediu que a Oxide não mudasse, porque ela trata de localização e alertas. O preenchimento nunca usa um vínculo de outra data. Um gatilho que confere o par lacre e cilindro foi aprovado para uma entrega seguinte.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07/10/2026. Evidências do relatório: num PostgreSQL temporário, 10 alertas preenchidos; a segunda execução não alterou nada; as demais tabelas ficaram idênticas; 6 de 6 regras conferidas; a parada segura funcionou; o banco principal não foi acessado.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 script atende exatamente a regra definida pelo responsável e foi mantido sem mudanças após os testes.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Relatorio-de-Teste-2026-10-07-00h15.md; Banco_FluxID.md (seção 17.5); PlanoDeTeste.md v1.9; PR #13.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