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Levar os dados do lacre da Oxide para o FluxID e trazer o cadastro oficial de volta, sem perder nem duplicar dados.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API do lacre com fila local (Oxide) e banco principal FluxID em PostgreSQL. Tarefa: deixar pronta a integração da API com os dois bancos, com o FluxID como principal; se necessário, replicar as estruturas que o frontend está criando, integradas à Oxide. Restrições: usar só o FluxID de análise no Docker; não acessar o banco principal. Entrega esperada: Worker de sincronização, testes e relatório para validação.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Worker (npm run worker): envia telemetria, eventos e alertas, uma linha por transação; cinco novas tentativas; FluxID fora do ar não gasta tentativa; quarentena e espera do vínculo; traz o cadastro e o hash da chave dos dispositivos; rotas de acompanhamento /api/v1/sync/*; scripts 004 (decisões P1 a P8 e gatilho do par lacre e cilindro) e 005 (estruturas do frontend e histórico do cilindro).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apresentou sete escolhas de implementação e quatro pontos do frontend para a equipe decidir. A conexão com o banco fica só no arquivo .env, fora do Git.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 (15 de 15 "sim"). Aprovou a entrega em 07/10/2026. Evidências do relatório: teste formal do roteiro (seção do Worker) contra o FluxID do Docker, sem falhas; suíte com 96 de 96 casos.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as escolhas de implementação foram validadas pela equipe antes de entrar na main.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Relatorio-de-Teste-2026-10-07-01h30.md; Integracao-Oxide-FluxID.md v2.0; Banco_FluxID.md (seções 17.6 e 17.7); PRs #15 e #16.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