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41A" w:rsidRDefault="00DF141A" w:rsidP="00DF141A">
      <w:pPr>
        <w:pStyle w:val="Heading1"/>
        <w:jc w:val="center"/>
        <w:rPr>
          <w:rFonts w:ascii="Perpetua Titling MT" w:hAnsi="Perpetua Titling MT"/>
          <w:sz w:val="48"/>
          <w:szCs w:val="48"/>
        </w:rPr>
      </w:pPr>
      <w:r w:rsidRPr="00CD6E23">
        <w:rPr>
          <w:rFonts w:ascii="Perpetua Titling MT" w:hAnsi="Perpetua Titling MT"/>
          <w:sz w:val="48"/>
          <w:szCs w:val="48"/>
        </w:rPr>
        <w:t xml:space="preserve">Carbon Storage </w:t>
      </w:r>
      <w:bookmarkStart w:id="0" w:name="_Toc255992045"/>
      <w:bookmarkStart w:id="1" w:name="_Toc158980569"/>
      <w:r w:rsidRPr="00CD6E23">
        <w:rPr>
          <w:rFonts w:ascii="Perpetua Titling MT" w:hAnsi="Perpetua Titling MT"/>
          <w:sz w:val="48"/>
          <w:szCs w:val="48"/>
        </w:rPr>
        <w:t>and Sequestration</w:t>
      </w:r>
      <w:bookmarkEnd w:id="0"/>
      <w:bookmarkEnd w:id="1"/>
    </w:p>
    <w:p w:rsidR="00DF141A" w:rsidRDefault="00DF141A" w:rsidP="00DF141A"/>
    <w:p w:rsidR="00DF141A" w:rsidRDefault="00DF141A" w:rsidP="00DF141A">
      <w:pPr>
        <w:pStyle w:val="Heading2"/>
        <w:ind w:left="-270"/>
        <w:rPr>
          <w:rFonts w:ascii="Cambria" w:hAnsi="Cambria"/>
          <w:i w:val="0"/>
          <w:iCs w:val="0"/>
          <w:sz w:val="30"/>
        </w:rPr>
      </w:pPr>
    </w:p>
    <w:p w:rsidR="00DF141A" w:rsidRPr="00AF42DA" w:rsidRDefault="00DF141A" w:rsidP="00DF141A">
      <w:pPr>
        <w:rPr>
          <w:rFonts w:ascii="Cambria" w:hAnsi="Cambria"/>
          <w:b/>
          <w:i/>
          <w:sz w:val="28"/>
        </w:rPr>
      </w:pPr>
      <w:bookmarkStart w:id="2" w:name="_Toc255992046"/>
      <w:r w:rsidRPr="00AF42DA">
        <w:rPr>
          <w:rFonts w:ascii="Cambria" w:hAnsi="Cambria"/>
          <w:b/>
          <w:i/>
          <w:sz w:val="28"/>
        </w:rPr>
        <w:t>Summary</w:t>
      </w:r>
      <w:bookmarkEnd w:id="2"/>
    </w:p>
    <w:p w:rsidR="00DF141A" w:rsidRPr="00F81FDD" w:rsidRDefault="00DF141A" w:rsidP="00DF141A">
      <w:pPr>
        <w:jc w:val="both"/>
        <w:rPr>
          <w:i/>
          <w:iCs/>
        </w:rPr>
      </w:pPr>
      <w:r>
        <w:rPr>
          <w:rFonts w:ascii="Cambria" w:hAnsi="Cambria"/>
          <w:b/>
          <w:bCs/>
          <w:i/>
          <w:iCs/>
          <w:noProof/>
          <w:sz w:val="30"/>
        </w:rPr>
        <w:drawing>
          <wp:anchor distT="12192" distB="15240" distL="126492" distR="114300" simplePos="0" relativeHeight="251665408" behindDoc="0" locked="0" layoutInCell="1" allowOverlap="1">
            <wp:simplePos x="0" y="0"/>
            <wp:positionH relativeFrom="column">
              <wp:posOffset>4393565</wp:posOffset>
            </wp:positionH>
            <wp:positionV relativeFrom="paragraph">
              <wp:posOffset>13335</wp:posOffset>
            </wp:positionV>
            <wp:extent cx="1786255" cy="2297430"/>
            <wp:effectExtent l="25400" t="0" r="0" b="0"/>
            <wp:wrapTight wrapText="bothSides">
              <wp:wrapPolygon edited="0">
                <wp:start x="-307" y="0"/>
                <wp:lineTo x="0" y="21493"/>
                <wp:lineTo x="21193" y="21493"/>
                <wp:lineTo x="21500" y="21493"/>
                <wp:lineTo x="21500" y="0"/>
                <wp:lineTo x="-307" y="0"/>
              </wp:wrapPolygon>
            </wp:wrapTight>
            <wp:docPr id="1200" name="Picture 1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rrowheads="1"/>
                    </pic:cNvPicPr>
                  </pic:nvPicPr>
                  <pic:blipFill>
                    <a:blip r:embed="rId5"/>
                    <a:srcRect/>
                    <a:stretch>
                      <a:fillRect/>
                    </a:stretch>
                  </pic:blipFill>
                  <pic:spPr bwMode="auto">
                    <a:xfrm>
                      <a:off x="0" y="0"/>
                      <a:ext cx="1786255" cy="2297430"/>
                    </a:xfrm>
                    <a:prstGeom prst="rect">
                      <a:avLst/>
                    </a:prstGeom>
                    <a:noFill/>
                  </pic:spPr>
                </pic:pic>
              </a:graphicData>
            </a:graphic>
          </wp:anchor>
        </w:drawing>
      </w:r>
      <w:r w:rsidRPr="00F81FDD">
        <w:rPr>
          <w:i/>
          <w:iCs/>
        </w:rPr>
        <w:t xml:space="preserve">Terrestrial ecosystems, which store more carbon than the atmosphere, are vital to influencing carbon dioxide-driven climate change. The InVEST model uses maps of land use and land cover types and data on wood harvest rates, harvested product degradation rates, and stocks in four carbon pools (aboveground biomass, belowground biomass, soil, dead organic matter) to estimate the amount of carbon currently stored in a landscape or the amount of carbon sequestered over time. Additional data on </w:t>
      </w:r>
      <w:r w:rsidRPr="00A73E2D">
        <w:rPr>
          <w:i/>
          <w:iCs/>
        </w:rPr>
        <w:t>the market or social value of sequestered carbon an</w:t>
      </w:r>
      <w:r w:rsidRPr="00F81FDD">
        <w:rPr>
          <w:i/>
          <w:iCs/>
        </w:rPr>
        <w:t>d its annual rate of change, and a discount rate</w:t>
      </w:r>
      <w:r>
        <w:rPr>
          <w:i/>
          <w:iCs/>
        </w:rPr>
        <w:t xml:space="preserve"> can be used in an optional model that</w:t>
      </w:r>
      <w:r w:rsidRPr="00F81FDD">
        <w:rPr>
          <w:i/>
          <w:iCs/>
        </w:rPr>
        <w:t xml:space="preserve"> estimate</w:t>
      </w:r>
      <w:r>
        <w:rPr>
          <w:i/>
          <w:iCs/>
        </w:rPr>
        <w:t>s</w:t>
      </w:r>
      <w:r w:rsidRPr="00F81FDD">
        <w:rPr>
          <w:i/>
          <w:iCs/>
        </w:rPr>
        <w:t xml:space="preserve"> the value of this ecosystem service</w:t>
      </w:r>
      <w:r>
        <w:rPr>
          <w:i/>
          <w:iCs/>
        </w:rPr>
        <w:t xml:space="preserve"> to society</w:t>
      </w:r>
      <w:r w:rsidRPr="00F81FDD">
        <w:rPr>
          <w:i/>
          <w:iCs/>
        </w:rPr>
        <w:t>.  Limitations of the model include an oversimplified carbon cycle, an assumed linear change in carbon sequestration over time, and potentially inaccurate discounting rates.</w:t>
      </w:r>
    </w:p>
    <w:p w:rsidR="00DF141A" w:rsidRPr="004F757C" w:rsidRDefault="00DF141A" w:rsidP="00DF141A">
      <w:pPr>
        <w:jc w:val="both"/>
        <w:rPr>
          <w:i/>
        </w:rPr>
      </w:pPr>
    </w:p>
    <w:p w:rsidR="00DF141A" w:rsidRPr="0054339E" w:rsidRDefault="00DF141A" w:rsidP="00DF141A">
      <w:pPr>
        <w:pStyle w:val="Heading2"/>
        <w:ind w:left="-270"/>
        <w:rPr>
          <w:rFonts w:ascii="Cambria" w:hAnsi="Cambria"/>
          <w:sz w:val="30"/>
        </w:rPr>
      </w:pPr>
      <w:bookmarkStart w:id="3" w:name="_Toc255992047"/>
      <w:bookmarkStart w:id="4" w:name="_Toc158980570"/>
      <w:r w:rsidRPr="0054339E">
        <w:rPr>
          <w:rFonts w:ascii="Cambria" w:hAnsi="Cambria"/>
          <w:sz w:val="30"/>
        </w:rPr>
        <w:t>Introduction</w:t>
      </w:r>
      <w:bookmarkEnd w:id="3"/>
      <w:bookmarkEnd w:id="4"/>
    </w:p>
    <w:p w:rsidR="00DF141A" w:rsidRDefault="00DF141A" w:rsidP="00DF141A">
      <w:pPr>
        <w:jc w:val="both"/>
      </w:pPr>
    </w:p>
    <w:p w:rsidR="00DF141A" w:rsidRPr="00572E67" w:rsidRDefault="00DF141A" w:rsidP="00DF141A">
      <w:pPr>
        <w:jc w:val="both"/>
      </w:pPr>
      <w:r w:rsidRPr="00572E67">
        <w:t>Ecosystems regulate Earth’s climate by adding and removing greenhouse gases (GHG) such as CO</w:t>
      </w:r>
      <w:r w:rsidRPr="00E54282">
        <w:rPr>
          <w:vertAlign w:val="subscript"/>
        </w:rPr>
        <w:t>2</w:t>
      </w:r>
      <w:r w:rsidRPr="00572E67">
        <w:t xml:space="preserve"> from the atmosphere. In fact, forests, grasslands, peat swamps, and other terrestrial ecosystems collectively store much more carbon than does the atmosphere (Lal 2002). By storing this carbon in wood, other biomass, and soil, ecosystems keep CO</w:t>
      </w:r>
      <w:r w:rsidRPr="00E54282">
        <w:rPr>
          <w:vertAlign w:val="subscript"/>
        </w:rPr>
        <w:t>2</w:t>
      </w:r>
      <w:r w:rsidRPr="00572E67">
        <w:t xml:space="preserve"> out of the atmosphere, where it would contribute to climate change. Beyond just storing carbon, many systems also continue to accumulate it in plants and soil over time, thereby “sequestering” additional carbon each year.  Disturbing these systems with fire, disease, or vegetation conversion (e.g., land use / land cover (LULC) conversion) can release large amounts of CO</w:t>
      </w:r>
      <w:r w:rsidRPr="00E54282">
        <w:rPr>
          <w:vertAlign w:val="subscript"/>
        </w:rPr>
        <w:t>2</w:t>
      </w:r>
      <w:r w:rsidRPr="00572E67">
        <w:t>. Other management changes, like forest restoration or alternative agricultural practices, can lead to the storage of large amounts of CO</w:t>
      </w:r>
      <w:r w:rsidRPr="00E54282">
        <w:rPr>
          <w:vertAlign w:val="subscript"/>
        </w:rPr>
        <w:t>2</w:t>
      </w:r>
      <w:r w:rsidRPr="00572E67">
        <w:t>.  Therefore, the ways in which we manage terrestrial ecosystems are critical to regulating our climate.</w:t>
      </w:r>
    </w:p>
    <w:p w:rsidR="00DF141A" w:rsidRDefault="00DF141A" w:rsidP="00DF141A">
      <w:pPr>
        <w:jc w:val="both"/>
      </w:pPr>
    </w:p>
    <w:p w:rsidR="00DF141A" w:rsidRDefault="00DF141A" w:rsidP="00DF141A">
      <w:pPr>
        <w:jc w:val="both"/>
      </w:pPr>
      <w:r>
        <w:t xml:space="preserve">As with all other models for which InVEST provides estimates of value, we are focused on the social value of carbon sequestration and storage. </w:t>
      </w:r>
      <w:r w:rsidRPr="00572E67">
        <w:t xml:space="preserve">Terrestrial-based carbon sequestration </w:t>
      </w:r>
      <w:r>
        <w:t xml:space="preserve">and storage </w:t>
      </w:r>
      <w:r w:rsidRPr="00572E67">
        <w:t xml:space="preserve">is perhaps the most widely recognized of all ecosystem services (Stern 2007, IPCC 2006, Canadell and Raupach 2008, Capoor and Ambrosi 2008, Hamilton et al. 2008, Pagiola 2008). The social value of a sequestered ton of carbon is equal to the social damage avoided by not releasing the ton of carbon into the atmosphere (Tol 2005, Stern 2007). Calculations of social cost are complicated and controversial (see Weitzman 2007 and Nordhaus 2007b), but have </w:t>
      </w:r>
      <w:r w:rsidRPr="00572E67">
        <w:lastRenderedPageBreak/>
        <w:t xml:space="preserve">resulted in value estimates that range from </w:t>
      </w:r>
      <w:r>
        <w:t xml:space="preserve">USD </w:t>
      </w:r>
      <w:r w:rsidRPr="00572E67">
        <w:t>$9.55 to $84.55 per metric ton of CO</w:t>
      </w:r>
      <w:r w:rsidRPr="00E54282">
        <w:rPr>
          <w:vertAlign w:val="subscript"/>
        </w:rPr>
        <w:t>2</w:t>
      </w:r>
      <w:r w:rsidRPr="00572E67">
        <w:t xml:space="preserve"> released into the atmosphere (Nordhaus 2007a and Stern 2007, respectively).</w:t>
      </w:r>
    </w:p>
    <w:p w:rsidR="00DF141A" w:rsidRDefault="00DF141A" w:rsidP="00DF141A">
      <w:pPr>
        <w:jc w:val="both"/>
      </w:pPr>
    </w:p>
    <w:p w:rsidR="00DF141A" w:rsidRPr="00572E67" w:rsidRDefault="00DF141A" w:rsidP="00DF141A">
      <w:pPr>
        <w:jc w:val="both"/>
      </w:pPr>
      <w:r>
        <w:t xml:space="preserve">In addition to the social value of carbon sequestration and storage, there are several emerging markets for carbon based on both regulation and voluntary demand. </w:t>
      </w:r>
      <w:r w:rsidRPr="00572E67">
        <w:t>The Kyoto Protocol – the current treaty addressing international climate change – includes a mechanism for establishing projects that sequester carbon to earn credits, which they then can sell to others needing to offset their own CO</w:t>
      </w:r>
      <w:r w:rsidRPr="00E54282">
        <w:rPr>
          <w:vertAlign w:val="subscript"/>
        </w:rPr>
        <w:t>2</w:t>
      </w:r>
      <w:r w:rsidRPr="00572E67">
        <w:t xml:space="preserve"> emissions.</w:t>
      </w:r>
      <w:r>
        <w:t xml:space="preserve"> As a result of the Kyoto Protocol, the European Union Emissions Trading Scheme (EU ETS) emerged to allow the regulated firms of the EU to trade their emissions allowances.  The </w:t>
      </w:r>
      <w:r w:rsidRPr="00572E67">
        <w:t xml:space="preserve">Chicago Climate Exchange (CCX) </w:t>
      </w:r>
      <w:r>
        <w:t xml:space="preserve">emerged in the United States, which is not a signatory party of the Kyoto Protocol. The CCX allows interested parties to trade emissions offsets that have been certified on a voluntary basis. The EU ETS and the CCX hadprices </w:t>
      </w:r>
      <w:r w:rsidRPr="00572E67">
        <w:t xml:space="preserve">of around 25 Euros </w:t>
      </w:r>
      <w:r>
        <w:t xml:space="preserve">and </w:t>
      </w:r>
      <w:r w:rsidRPr="00572E67">
        <w:t xml:space="preserve">$USD </w:t>
      </w:r>
      <w:r w:rsidRPr="00163A36">
        <w:t>6 per metric ton</w:t>
      </w:r>
      <w:r w:rsidRPr="00572E67">
        <w:t xml:space="preserve"> of CO</w:t>
      </w:r>
      <w:r w:rsidRPr="00E54282">
        <w:rPr>
          <w:vertAlign w:val="subscript"/>
        </w:rPr>
        <w:t>2</w:t>
      </w:r>
      <w:r w:rsidRPr="00572E67">
        <w:t>, respectively as of April 2008.</w:t>
      </w:r>
      <w:r>
        <w:t xml:space="preserve"> In addition to these centralized markets, there is a substantial over-the-counter market for voluntary carbon offsets.  For details about the price of these offsets, see Conte and Kotchen (2010).  </w:t>
      </w:r>
    </w:p>
    <w:p w:rsidR="00DF141A" w:rsidRPr="00572E67" w:rsidRDefault="00DF141A" w:rsidP="00DF141A">
      <w:pPr>
        <w:jc w:val="both"/>
      </w:pPr>
    </w:p>
    <w:p w:rsidR="00DF141A" w:rsidRPr="00572E67" w:rsidRDefault="00DF141A" w:rsidP="00DF141A">
      <w:pPr>
        <w:jc w:val="both"/>
      </w:pPr>
      <w:r w:rsidRPr="00572E67">
        <w:t>Currently these markets only apply to carbon sequestration (i.e., the additional storage of carbon over time), but there is increased interest in financial incentives to avoid release of carbon from ecosystems in the first place, so-called “reduced emissions from deforestation and degradation” or “REDD” (Gibbs et al. 2007, Mollicone et al. 2007, Mackey et al. 2008). This option was accepted during the last meeting of the parties to the UN Framework Convention on Climate Change and is likely to be written in to the follow up agreement to the Kyoto Protocol. Payments for REDD would financially reward forest owners for reversing their planned deforesting and thinning actions (Sedjo and Sohngen 2007, Sohngen et al. 2008). Issues of accounting and verification have slowed the emergence of REDD markets, but many are anticipating them with private transactions.</w:t>
      </w:r>
    </w:p>
    <w:p w:rsidR="00DF141A" w:rsidRPr="00572E67" w:rsidRDefault="00DF141A" w:rsidP="00DF141A">
      <w:pPr>
        <w:jc w:val="both"/>
      </w:pPr>
    </w:p>
    <w:p w:rsidR="00DF141A" w:rsidRPr="00572E67" w:rsidRDefault="00DF141A" w:rsidP="00DF141A">
      <w:pPr>
        <w:jc w:val="both"/>
      </w:pPr>
      <w:r w:rsidRPr="00572E67">
        <w:t>While market prices are one way to estimate the value of CO</w:t>
      </w:r>
      <w:r w:rsidRPr="00E54282">
        <w:rPr>
          <w:vertAlign w:val="subscript"/>
        </w:rPr>
        <w:t>2</w:t>
      </w:r>
      <w:r w:rsidRPr="00572E67">
        <w:t xml:space="preserve"> sequestration, these prices </w:t>
      </w:r>
      <w:r>
        <w:t>will</w:t>
      </w:r>
      <w:r w:rsidRPr="00572E67">
        <w:t xml:space="preserve"> reflect policies, subsidies, and other factors, and therefore </w:t>
      </w:r>
      <w:r>
        <w:t xml:space="preserve">will only </w:t>
      </w:r>
      <w:r w:rsidRPr="00572E67">
        <w:t>indicate the true value of this service to society</w:t>
      </w:r>
      <w:r>
        <w:t xml:space="preserve"> by chance</w:t>
      </w:r>
      <w:r w:rsidRPr="00572E67">
        <w:t xml:space="preserve"> (Murray et al. 2007).</w:t>
      </w:r>
      <w:r>
        <w:t xml:space="preserve">  For this reason, we recommend that users rely on the avoided damages associated with the emission of </w:t>
      </w:r>
      <w:r w:rsidRPr="00572E67">
        <w:t>CO</w:t>
      </w:r>
      <w:r w:rsidRPr="00E54282">
        <w:rPr>
          <w:vertAlign w:val="subscript"/>
        </w:rPr>
        <w:t>2</w:t>
      </w:r>
      <w:r w:rsidRPr="00572E67">
        <w:t xml:space="preserve"> into the atmosphere</w:t>
      </w:r>
      <w:r>
        <w:t xml:space="preserve"> rather than prices in existing carbon markets to estimate the social value of carbon sequestration and storage.</w:t>
      </w:r>
    </w:p>
    <w:p w:rsidR="00DF141A" w:rsidRPr="00572E67" w:rsidRDefault="00DF141A" w:rsidP="00DF141A">
      <w:pPr>
        <w:jc w:val="both"/>
      </w:pPr>
    </w:p>
    <w:p w:rsidR="00DF141A" w:rsidRPr="00572E67" w:rsidRDefault="00DF141A" w:rsidP="00DF141A">
      <w:pPr>
        <w:jc w:val="both"/>
      </w:pPr>
      <w:r w:rsidRPr="00572E67">
        <w:t>Managing landscapes for carbon storage and sequestration requires information about how much and where carbon is stored, how much carbon is sequestered or lost over time, and how shifts in land use affect the amount of carbon stored and sequestered over time. Since land managers must choose among sites for protection, harvest, or development, maps of carbon storage and sequestration are ideal for supporting decisions influencing these ecosystem services.</w:t>
      </w:r>
    </w:p>
    <w:p w:rsidR="00DF141A" w:rsidRPr="00572E67" w:rsidRDefault="00DF141A" w:rsidP="00DF141A">
      <w:pPr>
        <w:jc w:val="both"/>
      </w:pPr>
    </w:p>
    <w:p w:rsidR="00DF141A" w:rsidRDefault="00DF141A" w:rsidP="00DF141A">
      <w:pPr>
        <w:jc w:val="both"/>
      </w:pPr>
      <w:r w:rsidRPr="00572E67">
        <w:t xml:space="preserve">Such maps can support a range of decisions by governments, NGOs, and businesses. For example, governments can use them to identify opportunities to earn credits for reduced (carbon) emissions from deforestation and degradation (REDD). Knowing which parts of a landscape store the most carbon would help governments efficiently target incentives to landowners in exchange for forest conservation. Additionally, a conservation NGO may wish to invest in areas where high levels of biodiversity and carbon sequestration overlap (Nelson et al. 2008). A timber </w:t>
      </w:r>
      <w:r w:rsidRPr="00572E67">
        <w:lastRenderedPageBreak/>
        <w:t xml:space="preserve">company may also want to maximize its returns from both timber production and REDD carbon credits (Plantinga and </w:t>
      </w:r>
    </w:p>
    <w:p w:rsidR="00DF141A" w:rsidRDefault="00DF141A" w:rsidP="00DF141A">
      <w:pPr>
        <w:jc w:val="both"/>
      </w:pPr>
      <w:r>
        <w:rPr>
          <w:b/>
          <w:bCs/>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937250" cy="3814445"/>
            <wp:effectExtent l="50800" t="25400" r="31750" b="20955"/>
            <wp:wrapSquare wrapText="bothSides"/>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6"/>
                    <a:srcRect/>
                    <a:stretch>
                      <a:fillRect/>
                    </a:stretch>
                  </pic:blipFill>
                  <pic:spPr bwMode="auto">
                    <a:xfrm>
                      <a:off x="0" y="0"/>
                      <a:ext cx="5937250" cy="3814445"/>
                    </a:xfrm>
                    <a:prstGeom prst="rect">
                      <a:avLst/>
                    </a:prstGeom>
                    <a:noFill/>
                    <a:ln w="19050">
                      <a:solidFill>
                        <a:srgbClr val="993300"/>
                      </a:solidFill>
                      <a:miter lim="800000"/>
                      <a:headEnd/>
                      <a:tailEnd/>
                    </a:ln>
                  </pic:spPr>
                </pic:pic>
              </a:graphicData>
            </a:graphic>
          </wp:anchor>
        </w:drawing>
      </w:r>
      <w:r w:rsidRPr="0063614A">
        <w:rPr>
          <w:b/>
          <w:bCs/>
        </w:rPr>
        <w:t>Figure 1</w:t>
      </w:r>
      <w:r>
        <w:t>. Conceptual model of carbon storage and sequestration. Parameters depicted in color are included in the InVEST model, while those in gray are not.</w:t>
      </w:r>
    </w:p>
    <w:p w:rsidR="00DF141A" w:rsidRDefault="00DF141A" w:rsidP="00DF141A">
      <w:pPr>
        <w:jc w:val="both"/>
      </w:pPr>
    </w:p>
    <w:p w:rsidR="00DF141A" w:rsidRDefault="00DF141A" w:rsidP="00DF141A">
      <w:pPr>
        <w:jc w:val="both"/>
      </w:pPr>
    </w:p>
    <w:p w:rsidR="00DF141A" w:rsidRPr="00572E67" w:rsidRDefault="00DF141A" w:rsidP="00DF141A">
      <w:pPr>
        <w:jc w:val="both"/>
      </w:pPr>
      <w:r w:rsidRPr="00572E67">
        <w:t>Birdsey 1994), in which case they could use the InVEST timber production model in tandem with the carbon model to assess management options.</w:t>
      </w:r>
    </w:p>
    <w:p w:rsidR="00DF141A" w:rsidRDefault="00DF141A" w:rsidP="00DF141A">
      <w:pPr>
        <w:jc w:val="both"/>
      </w:pPr>
    </w:p>
    <w:p w:rsidR="00DF141A" w:rsidRPr="0063614A" w:rsidRDefault="00DF141A" w:rsidP="00DF141A">
      <w:pPr>
        <w:jc w:val="both"/>
        <w:rPr>
          <w:i/>
          <w:iCs/>
        </w:rPr>
      </w:pPr>
    </w:p>
    <w:p w:rsidR="00DF141A" w:rsidRPr="00572E67" w:rsidRDefault="00DF141A" w:rsidP="00DF141A">
      <w:pPr>
        <w:pStyle w:val="Heading2"/>
        <w:spacing w:before="0" w:after="0"/>
        <w:ind w:hanging="187"/>
        <w:jc w:val="both"/>
        <w:rPr>
          <w:rFonts w:ascii="Cambria" w:hAnsi="Cambria"/>
          <w:iCs w:val="0"/>
        </w:rPr>
      </w:pPr>
      <w:bookmarkStart w:id="5" w:name="_Toc255992048"/>
      <w:bookmarkStart w:id="6" w:name="_Toc158980571"/>
      <w:r w:rsidRPr="00572E67">
        <w:rPr>
          <w:rFonts w:ascii="Cambria" w:hAnsi="Cambria"/>
          <w:iCs w:val="0"/>
        </w:rPr>
        <w:t>The Model</w:t>
      </w:r>
      <w:bookmarkEnd w:id="5"/>
      <w:bookmarkEnd w:id="6"/>
    </w:p>
    <w:p w:rsidR="00DF141A" w:rsidRDefault="00DF141A" w:rsidP="00DF141A">
      <w:pPr>
        <w:jc w:val="both"/>
      </w:pPr>
      <w:r>
        <w:t xml:space="preserve">Carbon storage on a land parcel largely depends on the sizes of four carbon “pools:” aboveground biomass, belowground biomass, soil, and dead organic matter (Fig. 1). The InVEST Carbon Storage and Sequestration model aggregates the amount of carbon stored in these pools according to the land use maps and classifications produced by the user. Aboveground biomass comprises all living plant material above the soil (e.g., bark, trunks, branches, leaves). Belowground biomass encompasses the living root systems of aboveground biomass.Soil organic matter is the organic </w:t>
      </w:r>
    </w:p>
    <w:p w:rsidR="00DF141A" w:rsidRDefault="00DF141A" w:rsidP="00DF141A">
      <w:pPr>
        <w:jc w:val="both"/>
      </w:pPr>
      <w:r>
        <w:t xml:space="preserve">component of soil, and represents the largest terrestrial carbon pool. </w:t>
      </w:r>
      <w:r w:rsidRPr="00F13466">
        <w:t>Dead</w:t>
      </w:r>
      <w:r>
        <w:t xml:space="preserve"> organic matter includes litter as well as lying and standing dead wood. A fifth optional pool included in the model applies to parcels that produce harvested wood products (HWPs)such as firewood or charcoal or more long-lived products such as house timbers or furniture. Tracking carbon in this </w:t>
      </w:r>
      <w:r>
        <w:lastRenderedPageBreak/>
        <w:t xml:space="preserve">pool is useful because it represents the amount of carbon kept from the atmosphere by a given product. </w:t>
      </w:r>
    </w:p>
    <w:p w:rsidR="00DF141A" w:rsidRDefault="00DF141A" w:rsidP="00DF141A">
      <w:pPr>
        <w:jc w:val="both"/>
      </w:pPr>
    </w:p>
    <w:p w:rsidR="00DF141A" w:rsidRPr="00572E67" w:rsidRDefault="00DF141A" w:rsidP="00DF141A">
      <w:pPr>
        <w:jc w:val="both"/>
      </w:pPr>
      <w:r w:rsidRPr="00572E67">
        <w:t xml:space="preserve">Using maps of land use and land cover types and the amount of carbon stored in carbon pools, this model estimates: the net amount of carbon stored in a land parcel over time; the total biomass removed from a harvested area of the parcel, and the market and social values of the carbon sequestered in remaining stock. Limitations of the model include an oversimplified carbon cycle, an assumed linear change in carbon sequestration over time, and potentially inaccurate discounting rates. Biophysical conditions important for carbon sequestration such as photosynthesis rates and the presence of active soil organisms are also not included in the model (Fig. 1). </w:t>
      </w:r>
    </w:p>
    <w:p w:rsidR="00DF141A" w:rsidRDefault="00DF141A" w:rsidP="00DF141A">
      <w:pPr>
        <w:jc w:val="both"/>
      </w:pPr>
    </w:p>
    <w:p w:rsidR="00DF141A" w:rsidRPr="001734D6" w:rsidRDefault="00DF141A" w:rsidP="00DF141A">
      <w:pPr>
        <w:pStyle w:val="Heading3"/>
        <w:ind w:left="-270"/>
        <w:rPr>
          <w:rFonts w:ascii="Cambria" w:hAnsi="Cambria"/>
        </w:rPr>
      </w:pPr>
      <w:bookmarkStart w:id="7" w:name="_Toc255992049"/>
      <w:bookmarkStart w:id="8" w:name="_Toc158980572"/>
      <w:r w:rsidRPr="001734D6">
        <w:rPr>
          <w:rFonts w:ascii="Cambria" w:hAnsi="Cambria"/>
        </w:rPr>
        <w:t xml:space="preserve">How </w:t>
      </w:r>
      <w:r>
        <w:rPr>
          <w:rFonts w:ascii="Cambria" w:hAnsi="Cambria"/>
        </w:rPr>
        <w:t>it</w:t>
      </w:r>
      <w:r w:rsidRPr="001734D6">
        <w:rPr>
          <w:rFonts w:ascii="Cambria" w:hAnsi="Cambria"/>
        </w:rPr>
        <w:t xml:space="preserve"> works</w:t>
      </w:r>
      <w:bookmarkEnd w:id="7"/>
      <w:bookmarkEnd w:id="8"/>
    </w:p>
    <w:p w:rsidR="00DF141A" w:rsidRDefault="00DF141A" w:rsidP="00DF141A">
      <w:pPr>
        <w:jc w:val="both"/>
      </w:pPr>
      <w:bookmarkStart w:id="9" w:name="_Toc122705374"/>
      <w:bookmarkStart w:id="10" w:name="_Toc122865194"/>
      <w:bookmarkStart w:id="11" w:name="_Toc122865293"/>
      <w:bookmarkStart w:id="12" w:name="_Toc122956739"/>
      <w:bookmarkStart w:id="13" w:name="_Toc122970638"/>
      <w:bookmarkStart w:id="14" w:name="_Toc122971172"/>
      <w:bookmarkStart w:id="15" w:name="_Toc122971514"/>
      <w:bookmarkStart w:id="16" w:name="_Toc122971624"/>
      <w:r>
        <w:t xml:space="preserve">The model runs on a gridded map of cells called raster format in GIS. If the HWP pool is included in the analysis, a polygon map of harvest parcels is also modeled. Each cell in the raster is assigned a land use and land use and land cover (LULC) type such as forest, pasture, or agricultural land. Each harvest polygon is assigned harvest type referring to the harvested product, harvest frequency, and product decay rates. After running the model in raster format, results can be summarized to practical land units such as individual properties, political units, or watersheds.  </w:t>
      </w:r>
    </w:p>
    <w:p w:rsidR="00DF141A" w:rsidRDefault="00DF141A" w:rsidP="00DF141A"/>
    <w:p w:rsidR="00DF141A" w:rsidRDefault="00DF141A" w:rsidP="00DF141A">
      <w:pPr>
        <w:jc w:val="both"/>
      </w:pPr>
      <w:r>
        <w:t>For each LULC type, the model requires an estimate of the amount of carbon in at least one of the four fundamental pools described above. If the user has data for more than one pool, the modeled results will be more complete. The model simply applies these estimates to the LULC map to produce a map of carbon storage in the carbon pools included.</w:t>
      </w:r>
    </w:p>
    <w:p w:rsidR="00DF141A" w:rsidRDefault="00DF141A" w:rsidP="00DF141A">
      <w:pPr>
        <w:jc w:val="both"/>
      </w:pPr>
    </w:p>
    <w:p w:rsidR="00DF141A" w:rsidRDefault="00DF141A" w:rsidP="00DF141A">
      <w:pPr>
        <w:jc w:val="both"/>
      </w:pPr>
      <w:r>
        <w:t>For the</w:t>
      </w:r>
      <w:r w:rsidRPr="00477C3D">
        <w:t xml:space="preserve"> fifth carbon pool</w:t>
      </w:r>
      <w:r>
        <w:t xml:space="preserve">, HWP, model values are defined for each parcel (polygon) and not for each LULC. For each parcel the user indicates the amount of biomass, in terms of carbon, removed per harvest, the frequency of harvests, and the rate at which the products that contain carbon degrade. With these data, the model calculates the amount of stored carbon that </w:t>
      </w:r>
      <w:r>
        <w:rPr>
          <w:i/>
        </w:rPr>
        <w:t>originated</w:t>
      </w:r>
      <w:r>
        <w:t xml:space="preserve"> in a parcel but now resides in finished products such as houses or furniture. The model converts parcel level HWP carbon values into a grid cell layer that spatially matches the grid system used for the other four carbon storage pools. </w:t>
      </w:r>
    </w:p>
    <w:p w:rsidR="00DF141A" w:rsidRDefault="00DF141A" w:rsidP="00DF141A">
      <w:pPr>
        <w:jc w:val="both"/>
      </w:pPr>
    </w:p>
    <w:p w:rsidR="00DF141A" w:rsidRDefault="00DF141A" w:rsidP="00DF141A">
      <w:pPr>
        <w:jc w:val="both"/>
      </w:pPr>
      <w:r>
        <w:t>The model aggregates the carbon in each of the five pools, providing an estimate of total carbon storage in each grid cell and across the whole landscape. If carbon storage data for a given pool are not mapped, then total carbon storage will be underestimated.The model also outputs the total biomass and volume of wood removed from each harvested parcel up to the year associated with the modeled landscape.</w:t>
      </w:r>
    </w:p>
    <w:p w:rsidR="00DF141A" w:rsidRDefault="00DF141A" w:rsidP="00DF141A">
      <w:pPr>
        <w:jc w:val="both"/>
      </w:pPr>
    </w:p>
    <w:p w:rsidR="00DF141A" w:rsidRDefault="00DF141A" w:rsidP="00DF141A">
      <w:pPr>
        <w:jc w:val="both"/>
      </w:pPr>
      <w:r>
        <w:t xml:space="preserve">If the user provides both a current and future LULC map, then the net change in carbon storage over time (sequestration and loss) and its social value can be calculated. To estimate this change in carbon sequestration over time, the model is simply applied to the current landscape and a projected future landscape, and the difference in storage is calculated, map unit by map unit. If </w:t>
      </w:r>
      <w:r>
        <w:lastRenderedPageBreak/>
        <w:t xml:space="preserve">multiple future scenarios are available, the differences between the current and each alternate future landscape can be compared.  </w:t>
      </w:r>
    </w:p>
    <w:p w:rsidR="00DF141A" w:rsidRDefault="00DF141A" w:rsidP="00DF141A"/>
    <w:p w:rsidR="00DF141A" w:rsidRDefault="00DF141A" w:rsidP="00DF141A">
      <w:pPr>
        <w:jc w:val="both"/>
      </w:pPr>
      <w:r>
        <w:t>Outputs of the model are expressed as Mg of carbon</w:t>
      </w:r>
      <w:r w:rsidRPr="00B74050">
        <w:t xml:space="preserve"> per grid cell</w:t>
      </w:r>
      <w:r>
        <w:t xml:space="preserve">, or if desired, thevalue of sequestration in dollars per grid cell. We strongly recommend using the social value of carbon sequestration if the user is interested in expressing sequestration in monetary units. The social value of a sequestered ton of carbon is the social damage avoided by not releasing the ton of carbon into the atmosphere. The market value may be applicable if the user is interested in identifying the value of the landscape for trading under current market conditions. The market value of terrestrial-based carbon sequestration is the price per metric ton of carbon traded in marketplaces such as the Chicago Climate Exchange (ECX). </w:t>
      </w:r>
    </w:p>
    <w:bookmarkEnd w:id="9"/>
    <w:bookmarkEnd w:id="10"/>
    <w:bookmarkEnd w:id="11"/>
    <w:bookmarkEnd w:id="12"/>
    <w:bookmarkEnd w:id="13"/>
    <w:bookmarkEnd w:id="14"/>
    <w:bookmarkEnd w:id="15"/>
    <w:bookmarkEnd w:id="16"/>
    <w:p w:rsidR="00DF141A" w:rsidRDefault="00DF141A" w:rsidP="00DF141A"/>
    <w:p w:rsidR="00DF141A" w:rsidRDefault="00DF141A" w:rsidP="00DF141A">
      <w:pPr>
        <w:jc w:val="both"/>
      </w:pPr>
      <w:r>
        <w:t xml:space="preserve">The valuation model estimates the economic value of </w:t>
      </w:r>
      <w:r w:rsidRPr="00CD768A">
        <w:t>sequestration</w:t>
      </w:r>
      <w:r>
        <w:t xml:space="preserve"> (not storage) as a function of the amount of carbon sequestered, the monetary value of each unit of carbon, a monetary discount rate, and the change in the value of carbon sequestration over time (Fig. 1). Thus,</w:t>
      </w:r>
      <w:r w:rsidRPr="001D661C">
        <w:rPr>
          <w:b/>
          <w:bCs/>
        </w:rPr>
        <w:t xml:space="preserve"> valuation can only be done in the carbon model if you have a future scenario.</w:t>
      </w:r>
      <w:r>
        <w:t xml:space="preserve"> Valuation is applied to sequestration, not storage, because current market prices relate only to carbon sequestration. Discount rates are multipliers that typically reduce the value of carbon sequestration over time. The first type of discounting, the standard economic procedure of financial discounting, reflects the fact that people typically value immediate benefits more than future benefits due to impatience and uncertain economic growth. The second discount rate adjusts the social value of carbon sequestration over time. This value will change as the impact of carbon emissions on expected climate change-related damages changes. If we expect carbon sequestered today to have a greater impact on climate change mitigation than carbon sequestered in the future this second discount rate should be positive. On the other hand, if we expect carbon sequestered today to have less of an impact on climate change mitigation than carbon sequestered in the future this second discount rate should be negative.   </w:t>
      </w:r>
    </w:p>
    <w:p w:rsidR="00DF141A" w:rsidRDefault="00DF141A" w:rsidP="00DF141A"/>
    <w:p w:rsidR="00DF141A" w:rsidRDefault="00DF141A" w:rsidP="00DF141A">
      <w:pPr>
        <w:jc w:val="both"/>
      </w:pPr>
    </w:p>
    <w:p w:rsidR="00DF141A" w:rsidRDefault="00DF141A" w:rsidP="00DF141A">
      <w:pPr>
        <w:pStyle w:val="Heading3"/>
        <w:ind w:left="-180"/>
        <w:rPr>
          <w:rFonts w:ascii="Cambria" w:hAnsi="Cambria"/>
        </w:rPr>
      </w:pPr>
      <w:bookmarkStart w:id="17" w:name="_Toc255992050"/>
      <w:bookmarkStart w:id="18" w:name="_Toc158980573"/>
      <w:r w:rsidRPr="006252CB">
        <w:rPr>
          <w:rFonts w:ascii="Cambria" w:hAnsi="Cambria"/>
        </w:rPr>
        <w:t>Limitations and simplifications</w:t>
      </w:r>
      <w:bookmarkEnd w:id="17"/>
      <w:bookmarkEnd w:id="18"/>
    </w:p>
    <w:p w:rsidR="00DF141A" w:rsidRPr="007F5EEA" w:rsidRDefault="00DF141A" w:rsidP="00DF141A">
      <w:pPr>
        <w:jc w:val="center"/>
      </w:pPr>
    </w:p>
    <w:p w:rsidR="00DF141A" w:rsidRDefault="00DF141A" w:rsidP="00DF141A">
      <w:pPr>
        <w:jc w:val="both"/>
      </w:pPr>
      <w:r>
        <w:t xml:space="preserve">The model greatly oversimplifies the carbon cycle which allows it to run with relatively little information, but also leads to important limitations. For example, the model assumes that none of the LULC types in the landscape are gaining or losing carbon over time. Instead it is assumed that all LULC types are at some fixed storage level equal to the average of measured storage levels within that LULC type. Under this assumption, the only changes in carbon storage over time are due to changes from one LULC type to another or from the harvest of wood products. Therefore, any grid cell that does not change its LULC type and is at a wood harvest steady-state will have a sequestration value of 0 over time. In reality, many areas are recovering from past land use or are undergoing natural succession. The problem can be addressed by dividing LULC types into age classes (essentially adding more LULC types), such as three ages of forest. Then, parcels can move from one age class to the other in scenarios and change their carbon storage values as a result. </w:t>
      </w:r>
    </w:p>
    <w:p w:rsidR="00DF141A" w:rsidRDefault="00DF141A" w:rsidP="00DF141A">
      <w:pPr>
        <w:jc w:val="both"/>
      </w:pPr>
    </w:p>
    <w:p w:rsidR="00DF141A" w:rsidRDefault="00DF141A" w:rsidP="00DF141A">
      <w:pPr>
        <w:tabs>
          <w:tab w:val="left" w:pos="7854"/>
        </w:tabs>
        <w:jc w:val="both"/>
      </w:pPr>
      <w:r>
        <w:lastRenderedPageBreak/>
        <w:t>A second limitation is that because the model relies on carbon storage estimates for each LULC type, the results are only as detailed and reliable as the LULC classification used.  Carbon storage clearly differs among LULC types (e.g., tropical forest vs. open woodland), but often there can also be significant variation</w:t>
      </w:r>
      <w:r w:rsidRPr="003C1BFA">
        <w:t>within</w:t>
      </w:r>
      <w:r>
        <w:t xml:space="preserve"> a LULC type. For example, carbon storage within a “tropical moist forest” is affected by temperature, elevation, rainfall, and the number of years since a major disturbance (e.g., clear-cut or forest fire). The variety of carbon storage values within coarsely defined LULC types can be partly recovered by using a LULC classification system and related carbon pool table which stratifies coarsely defined LULC types with relevant environmental and management variables.  For example, forest LULC types can be stratified by elevation, climate bands or time intervals since a major disturbance. Of course, this more detailed approach requires data describing the amount of carbon stored in each of the carbon pools for each of the finer LULC classes.  </w:t>
      </w:r>
    </w:p>
    <w:p w:rsidR="00DF141A" w:rsidRDefault="00DF141A" w:rsidP="00DF141A"/>
    <w:p w:rsidR="00DF141A" w:rsidRDefault="00DF141A" w:rsidP="00DF141A">
      <w:pPr>
        <w:jc w:val="both"/>
      </w:pPr>
      <w:r>
        <w:t>Another limitation of the model is that it does not capture carbon that moves from one pool to another. For example, if trees in a forest die due to disease, much of the carbon stored in aboveground biomass becomes carbon stored in other (dead) organic material. Also, when trees are harvested from a forest, branches, stems, bark, etc. are left as slash on the ground. The model assumes that the carbon in wood slash “instantly” enters the atmosphere.</w:t>
      </w:r>
    </w:p>
    <w:p w:rsidR="00DF141A" w:rsidRDefault="00DF141A" w:rsidP="00DF141A"/>
    <w:p w:rsidR="00DF141A" w:rsidRPr="005710A5" w:rsidRDefault="00DF141A" w:rsidP="00DF141A">
      <w:pPr>
        <w:jc w:val="both"/>
        <w:rPr>
          <w:bCs/>
        </w:rPr>
      </w:pPr>
      <w:r>
        <w:t>With respect to its estimates of carbon in HWPs, the model is constrained by the fact that users may assign only one harvest rate (e.g., 50 Mg of wood per harvest where a harvest occurs every 2 years) and only one decay rate (e.g., the wood harvested from the parcel over the years is always used to make the same product that decays at the same rate) to each parcel. In reality, harvested parcels will exhibit variation in harvest and decay rates over time. The model also does not account for the greenhouse gasses (GHGs) emitted from the transportation of harvested wood from its initial harvest site to its final destination, the conversion of raw wood into finished products, or  agriculture-related activities such as from tractors and</w:t>
      </w:r>
      <w:r w:rsidRPr="000A2776">
        <w:t xml:space="preserve"> livestock</w:t>
      </w:r>
      <w:r>
        <w:t xml:space="preserve">. Annual GHG emissions from agricultural land use can be calculated with the InVEST </w:t>
      </w:r>
      <w:r w:rsidRPr="004F74C3">
        <w:rPr>
          <w:b/>
        </w:rPr>
        <w:t>Agriculture Production Model</w:t>
      </w:r>
      <w:r w:rsidRPr="005710A5">
        <w:rPr>
          <w:bCs/>
        </w:rPr>
        <w:t xml:space="preserve">, due to be released soon. </w:t>
      </w:r>
    </w:p>
    <w:p w:rsidR="00DF141A" w:rsidRPr="000A2776" w:rsidRDefault="00DF141A" w:rsidP="00DF141A">
      <w:pPr>
        <w:jc w:val="both"/>
      </w:pPr>
    </w:p>
    <w:p w:rsidR="00DF141A" w:rsidRDefault="00DF141A" w:rsidP="00DF141A">
      <w:pPr>
        <w:jc w:val="both"/>
      </w:pPr>
      <w:r w:rsidRPr="000A2776">
        <w:t xml:space="preserve">Finally, </w:t>
      </w:r>
      <w:r>
        <w:t xml:space="preserve">while </w:t>
      </w:r>
      <w:r w:rsidRPr="000A2776">
        <w:t>most sequestration follows a nonlinear path</w:t>
      </w:r>
      <w:r>
        <w:t xml:space="preserve"> such that carbon is sequestered at a higherrate </w:t>
      </w:r>
      <w:r w:rsidRPr="000A2776">
        <w:t xml:space="preserve">in the first few years and </w:t>
      </w:r>
      <w:r>
        <w:t>a lower</w:t>
      </w:r>
      <w:r w:rsidRPr="000A2776">
        <w:t xml:space="preserve"> rate </w:t>
      </w:r>
      <w:r>
        <w:t>in subsequent years,</w:t>
      </w:r>
      <w:r w:rsidRPr="000A2776">
        <w:t xml:space="preserve"> the</w:t>
      </w:r>
      <w:r>
        <w:t xml:space="preserve"> model’s</w:t>
      </w:r>
      <w:r w:rsidRPr="000A2776">
        <w:t xml:space="preserve"> economic valuation of carbon sequestration assumes a linear change in carbon s</w:t>
      </w:r>
      <w:r>
        <w:t>torage over time. The assumption of a constant rate of change will tend to undervalue the carbon sequestered, as a nonlinear path of carbon sequestration</w:t>
      </w:r>
      <w:r w:rsidRPr="000A2776">
        <w:t xml:space="preserve"> is more socially valuable due to discounting than </w:t>
      </w:r>
      <w:r>
        <w:t>a linear path</w:t>
      </w:r>
      <w:r w:rsidRPr="000A2776">
        <w:t xml:space="preserve"> (Fig</w:t>
      </w:r>
      <w:r>
        <w:t>.2</w:t>
      </w:r>
      <w:r w:rsidRPr="000A2776">
        <w:t xml:space="preserve">).  </w:t>
      </w:r>
    </w:p>
    <w:p w:rsidR="00DF141A" w:rsidRDefault="00DF141A" w:rsidP="00DF141A">
      <w:pPr>
        <w:ind w:right="-367"/>
        <w:jc w:val="both"/>
        <w:rPr>
          <w:b/>
          <w:i/>
          <w:iCs/>
          <w:sz w:val="22"/>
          <w:szCs w:val="22"/>
        </w:rPr>
      </w:pPr>
    </w:p>
    <w:p w:rsidR="00DF141A" w:rsidRDefault="00DF141A" w:rsidP="00DF141A">
      <w:pPr>
        <w:ind w:right="-367"/>
        <w:jc w:val="both"/>
        <w:rPr>
          <w:b/>
          <w:i/>
          <w:iCs/>
          <w:sz w:val="22"/>
          <w:szCs w:val="22"/>
        </w:rPr>
      </w:pPr>
    </w:p>
    <w:p w:rsidR="00DF141A" w:rsidRDefault="00DF141A" w:rsidP="00DF141A">
      <w:pPr>
        <w:ind w:right="-367"/>
        <w:jc w:val="both"/>
        <w:rPr>
          <w:b/>
          <w:i/>
          <w:iCs/>
          <w:sz w:val="22"/>
          <w:szCs w:val="22"/>
        </w:rPr>
      </w:pPr>
    </w:p>
    <w:p w:rsidR="00DF141A" w:rsidRPr="005E2E38" w:rsidRDefault="00DF141A" w:rsidP="00DF141A">
      <w:pPr>
        <w:ind w:right="-367"/>
        <w:jc w:val="both"/>
        <w:rPr>
          <w:i/>
          <w:iCs/>
          <w:sz w:val="22"/>
          <w:szCs w:val="22"/>
        </w:rPr>
      </w:pPr>
      <w:r w:rsidRPr="00912AEC">
        <w:rPr>
          <w:b/>
          <w:i/>
          <w:iCs/>
          <w:noProof/>
          <w:sz w:val="22"/>
          <w:szCs w:val="22"/>
        </w:rPr>
        <w:pict>
          <v:rect id="_x0000_s1026" style="position:absolute;left:0;text-align:left;margin-left:0;margin-top:-.15pt;width:280.5pt;height:225pt;z-index:251666432" filled="f" strokeweight="1.5pt">
            <w10:wrap type="square"/>
          </v:rect>
        </w:pict>
      </w:r>
      <w:r>
        <w:rPr>
          <w:i/>
          <w:iCs/>
          <w:noProof/>
          <w:sz w:val="22"/>
          <w:szCs w:val="22"/>
        </w:rPr>
        <w:drawing>
          <wp:anchor distT="0" distB="0" distL="114300" distR="114300" simplePos="0" relativeHeight="251663360" behindDoc="0" locked="0" layoutInCell="1" allowOverlap="1">
            <wp:simplePos x="0" y="0"/>
            <wp:positionH relativeFrom="column">
              <wp:posOffset>-3629025</wp:posOffset>
            </wp:positionH>
            <wp:positionV relativeFrom="paragraph">
              <wp:posOffset>138430</wp:posOffset>
            </wp:positionV>
            <wp:extent cx="3415030" cy="2717165"/>
            <wp:effectExtent l="25400" t="0" r="0" b="0"/>
            <wp:wrapNone/>
            <wp:docPr id="1198" name="Picture 30" descr="CarbonUsers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bonUsersGuide"/>
                    <pic:cNvPicPr>
                      <a:picLocks noChangeAspect="1" noChangeArrowheads="1"/>
                    </pic:cNvPicPr>
                  </pic:nvPicPr>
                  <pic:blipFill>
                    <a:blip r:embed="rId7"/>
                    <a:srcRect/>
                    <a:stretch>
                      <a:fillRect/>
                    </a:stretch>
                  </pic:blipFill>
                  <pic:spPr bwMode="auto">
                    <a:xfrm>
                      <a:off x="0" y="0"/>
                      <a:ext cx="3415030" cy="2717165"/>
                    </a:xfrm>
                    <a:prstGeom prst="rect">
                      <a:avLst/>
                    </a:prstGeom>
                    <a:noFill/>
                  </pic:spPr>
                </pic:pic>
              </a:graphicData>
            </a:graphic>
          </wp:anchor>
        </w:drawing>
      </w:r>
      <w:r w:rsidRPr="005E2E38">
        <w:rPr>
          <w:b/>
          <w:i/>
          <w:iCs/>
          <w:sz w:val="22"/>
          <w:szCs w:val="22"/>
        </w:rPr>
        <w:t>Figure 2</w:t>
      </w:r>
      <w:r w:rsidRPr="005E2E38">
        <w:rPr>
          <w:i/>
          <w:iCs/>
          <w:sz w:val="22"/>
          <w:szCs w:val="22"/>
        </w:rPr>
        <w:t>: The model assumes</w:t>
      </w:r>
      <w:r w:rsidRPr="00CD768A">
        <w:rPr>
          <w:i/>
          <w:iCs/>
          <w:sz w:val="22"/>
          <w:szCs w:val="22"/>
        </w:rPr>
        <w:t xml:space="preserve"> a linear change in carbon storage (the solid line), while the actual path to the year T’s carbon storage level may be non-linear (like the dotted line). In this case t can indicate t</w:t>
      </w:r>
      <w:r w:rsidRPr="005E2E38">
        <w:rPr>
          <w:i/>
          <w:iCs/>
          <w:sz w:val="22"/>
          <w:szCs w:val="22"/>
        </w:rPr>
        <w:t xml:space="preserve">he year of the current landscape and T the year of the future landscape. With positive discounting, the value of the modeled path </w:t>
      </w:r>
      <w:r w:rsidRPr="005E2E38">
        <w:rPr>
          <w:i/>
          <w:iCs/>
          <w:sz w:val="22"/>
          <w:szCs w:val="22"/>
        </w:rPr>
        <w:lastRenderedPageBreak/>
        <w:t>(the solid line) is less valuable than the actual path. Therefore, if sequestration paths tend to follow the dotted line, the modeled valuation of carbon sequestration will underestimate the actual value of the carbon sequestered.</w:t>
      </w:r>
    </w:p>
    <w:p w:rsidR="00DF141A" w:rsidRDefault="00DF141A" w:rsidP="00DF141A">
      <w:pPr>
        <w:pStyle w:val="Heading2"/>
        <w:rPr>
          <w:rFonts w:ascii="Times New Roman" w:hAnsi="Times New Roman"/>
          <w:sz w:val="10"/>
        </w:rPr>
      </w:pPr>
      <w:bookmarkStart w:id="19" w:name="_Toc255992051"/>
    </w:p>
    <w:p w:rsidR="00DF141A" w:rsidRDefault="00DF141A" w:rsidP="00DF141A"/>
    <w:p w:rsidR="00DF141A" w:rsidRPr="00C2751A" w:rsidRDefault="00DF141A" w:rsidP="00DF141A"/>
    <w:p w:rsidR="00DF141A" w:rsidRDefault="00DF141A" w:rsidP="00DF141A">
      <w:pPr>
        <w:pStyle w:val="Heading2"/>
        <w:rPr>
          <w:rFonts w:ascii="Cambria" w:hAnsi="Cambria"/>
        </w:rPr>
      </w:pPr>
    </w:p>
    <w:p w:rsidR="00DF141A" w:rsidRPr="00AC4F2F" w:rsidRDefault="00DF141A" w:rsidP="00DF141A">
      <w:pPr>
        <w:pStyle w:val="Heading2"/>
        <w:rPr>
          <w:rFonts w:ascii="Times New Roman" w:hAnsi="Times New Roman"/>
          <w:i w:val="0"/>
        </w:rPr>
      </w:pPr>
      <w:bookmarkStart w:id="20" w:name="_Toc158980574"/>
      <w:r w:rsidRPr="006252CB">
        <w:rPr>
          <w:rFonts w:ascii="Cambria" w:hAnsi="Cambria"/>
        </w:rPr>
        <w:t>Data needs</w:t>
      </w:r>
      <w:bookmarkEnd w:id="19"/>
      <w:bookmarkEnd w:id="20"/>
    </w:p>
    <w:p w:rsidR="00DF141A" w:rsidRDefault="00DF141A" w:rsidP="00DF141A">
      <w:pPr>
        <w:jc w:val="both"/>
      </w:pPr>
      <w:r>
        <w:t>The model uses five maps and tables of input data, two are required, and three are optional. This section outlines the map and data tables required by the model, including the economic data that the tool interface will prompt the user to enter. See Appendix for detailed information on data sources and pre-processing.</w:t>
      </w:r>
    </w:p>
    <w:p w:rsidR="00DF141A" w:rsidRDefault="00DF141A" w:rsidP="00DF141A">
      <w:pPr>
        <w:jc w:val="both"/>
      </w:pPr>
    </w:p>
    <w:p w:rsidR="00DF141A" w:rsidRDefault="00DF141A" w:rsidP="00DF141A">
      <w:pPr>
        <w:numPr>
          <w:ilvl w:val="0"/>
          <w:numId w:val="1"/>
        </w:numPr>
        <w:tabs>
          <w:tab w:val="left" w:pos="720"/>
        </w:tabs>
        <w:suppressAutoHyphens/>
        <w:jc w:val="both"/>
      </w:pPr>
      <w:r>
        <w:rPr>
          <w:b/>
        </w:rPr>
        <w:t>Current land use/land cover (LULC) map (required)</w:t>
      </w:r>
      <w:r>
        <w:t xml:space="preserve">. A GIS raster dataset, with a LULC code for each cell. The dataset should be projected in meters and the projection used should be defined. </w:t>
      </w:r>
    </w:p>
    <w:p w:rsidR="00DF141A" w:rsidRDefault="00DF141A" w:rsidP="00DF141A">
      <w:pPr>
        <w:ind w:left="1080"/>
        <w:jc w:val="both"/>
        <w:rPr>
          <w:u w:val="single"/>
        </w:rPr>
      </w:pPr>
      <w:r>
        <w:rPr>
          <w:u w:val="single"/>
        </w:rPr>
        <w:t>Name</w:t>
      </w:r>
      <w:r>
        <w:t xml:space="preserve">: file can be named anything, but avoid spaces </w:t>
      </w:r>
    </w:p>
    <w:p w:rsidR="00DF141A" w:rsidRDefault="00DF141A" w:rsidP="00DF141A">
      <w:pPr>
        <w:ind w:left="1080"/>
        <w:jc w:val="both"/>
      </w:pPr>
      <w:r>
        <w:rPr>
          <w:u w:val="single"/>
        </w:rPr>
        <w:t>Format:</w:t>
      </w:r>
      <w:r>
        <w:t xml:space="preserve"> standard GIS raster file (e.g., ESRI GRID or IMG), with LULC class code for each cell (e.g., 1 for forest, 3 for grassland, etc.)  These codes must match LULC codes in the tables below.  LULC class codes should be in the ‘LULC’ column of the dataset.</w:t>
      </w:r>
    </w:p>
    <w:p w:rsidR="00DF141A" w:rsidRDefault="00DF141A" w:rsidP="00DF141A">
      <w:pPr>
        <w:ind w:left="720"/>
        <w:jc w:val="both"/>
      </w:pPr>
      <w:r>
        <w:rPr>
          <w:b/>
          <w:bCs/>
          <w:u w:val="single"/>
        </w:rPr>
        <w:t>Sample</w:t>
      </w:r>
      <w:r w:rsidRPr="001E33EF">
        <w:rPr>
          <w:b/>
          <w:bCs/>
          <w:u w:val="single"/>
        </w:rPr>
        <w:t xml:space="preserve"> data set:</w:t>
      </w:r>
      <w:r>
        <w:t xml:space="preserve"> \Invest</w:t>
      </w:r>
      <w:r w:rsidRPr="00DF4AE4">
        <w:t>\Base_Data\</w:t>
      </w:r>
      <w:r w:rsidRPr="00DF4AE4">
        <w:rPr>
          <w:b/>
        </w:rPr>
        <w:t>lulc_</w:t>
      </w:r>
      <w:r>
        <w:rPr>
          <w:b/>
        </w:rPr>
        <w:t>samp</w:t>
      </w:r>
      <w:r w:rsidRPr="00DF4AE4">
        <w:rPr>
          <w:b/>
        </w:rPr>
        <w:t>_cur</w:t>
      </w:r>
    </w:p>
    <w:p w:rsidR="00DF141A" w:rsidRDefault="00DF141A" w:rsidP="00DF141A">
      <w:pPr>
        <w:ind w:left="720"/>
        <w:jc w:val="both"/>
      </w:pPr>
    </w:p>
    <w:p w:rsidR="00DF141A" w:rsidRDefault="00DF141A" w:rsidP="00DF141A">
      <w:pPr>
        <w:jc w:val="both"/>
      </w:pPr>
      <w:r>
        <w:tab/>
        <w:t xml:space="preserve">The model requires the following two pieces of information about the LULC map which </w:t>
      </w:r>
      <w:r>
        <w:tab/>
        <w:t>are prompted for in the interface.</w:t>
      </w:r>
    </w:p>
    <w:p w:rsidR="00DF141A" w:rsidRDefault="00DF141A" w:rsidP="00DF141A">
      <w:pPr>
        <w:numPr>
          <w:ilvl w:val="0"/>
          <w:numId w:val="2"/>
        </w:numPr>
        <w:tabs>
          <w:tab w:val="left" w:pos="1440"/>
        </w:tabs>
        <w:suppressAutoHyphens/>
        <w:jc w:val="both"/>
      </w:pPr>
      <w:r>
        <w:t xml:space="preserve">The </w:t>
      </w:r>
      <w:r w:rsidRPr="0044026D">
        <w:rPr>
          <w:b/>
        </w:rPr>
        <w:t>year</w:t>
      </w:r>
      <w:r>
        <w:t xml:space="preserve"> depicted by the LULC map, for use in calculating sequestration and economic values (labeled “Year of current land cover” in the interface).</w:t>
      </w:r>
    </w:p>
    <w:p w:rsidR="00DF141A" w:rsidRDefault="00DF141A" w:rsidP="00DF141A">
      <w:pPr>
        <w:numPr>
          <w:ilvl w:val="0"/>
          <w:numId w:val="2"/>
        </w:numPr>
        <w:tabs>
          <w:tab w:val="left" w:pos="1440"/>
        </w:tabs>
        <w:suppressAutoHyphens/>
        <w:jc w:val="both"/>
      </w:pPr>
      <w:r>
        <w:t xml:space="preserve">The </w:t>
      </w:r>
      <w:r w:rsidRPr="0044026D">
        <w:rPr>
          <w:b/>
        </w:rPr>
        <w:t>spatial resolution</w:t>
      </w:r>
      <w:r>
        <w:t xml:space="preserve"> (desired cell size in meters) at which you would like the model to run (labeled “Resolution (optional)”). You can only define a new resolution that is coarser than the resolution of the LULC map (this is the default resolution).</w:t>
      </w:r>
    </w:p>
    <w:p w:rsidR="00DF141A" w:rsidRDefault="00DF141A" w:rsidP="00DF141A">
      <w:pPr>
        <w:ind w:left="720"/>
        <w:jc w:val="both"/>
      </w:pPr>
    </w:p>
    <w:p w:rsidR="00DF141A" w:rsidRDefault="00DF141A" w:rsidP="00DF141A">
      <w:pPr>
        <w:numPr>
          <w:ilvl w:val="0"/>
          <w:numId w:val="1"/>
        </w:numPr>
        <w:tabs>
          <w:tab w:val="left" w:pos="720"/>
        </w:tabs>
        <w:suppressAutoHyphens/>
        <w:jc w:val="both"/>
      </w:pPr>
      <w:r>
        <w:rPr>
          <w:b/>
        </w:rPr>
        <w:t>Carbon pools (required)</w:t>
      </w:r>
      <w:r>
        <w:t xml:space="preserve">. A table of LULC classes, containing data on carbon stored in each of the four fundamental pools for each LULC class. Carbon storage data can be collected from field estimates from local plot studies, extracted from meta-analyses on specific habitat types or regions, or found in general published tables (e.g., IPCC, see Appendix). If information on some carbon pools is not available, pools can be estimated from other pools, or omitted by leaving all values for the pool equal to 0. </w:t>
      </w:r>
    </w:p>
    <w:p w:rsidR="00DF141A" w:rsidRDefault="00DF141A" w:rsidP="00DF141A">
      <w:pPr>
        <w:ind w:left="720"/>
        <w:rPr>
          <w:b/>
        </w:rPr>
      </w:pPr>
    </w:p>
    <w:p w:rsidR="00DF141A" w:rsidRDefault="00DF141A" w:rsidP="00DF141A">
      <w:pPr>
        <w:ind w:left="540"/>
        <w:jc w:val="both"/>
      </w:pPr>
      <w:r>
        <w:t xml:space="preserve">If a forest is regularly harvested for woody biomass, the estimates of carbon biomass in the aboveground, belowground, and dead organic matter pools should reflect this fact. For example, suppose one of the LULC types is a plantation forest that tends to have one-tenth of its area clear-cut every year. The aboveground and belowground estimates of carbon </w:t>
      </w:r>
      <w:r>
        <w:lastRenderedPageBreak/>
        <w:t>biomass for this LULC type should reflect the fact that only 9/10</w:t>
      </w:r>
      <w:r w:rsidRPr="000A0722">
        <w:rPr>
          <w:vertAlign w:val="superscript"/>
        </w:rPr>
        <w:t>th</w:t>
      </w:r>
      <w:r>
        <w:rPr>
          <w:vertAlign w:val="superscript"/>
        </w:rPr>
        <w:t>s</w:t>
      </w:r>
      <w:r>
        <w:t xml:space="preserve"> of the area occupied by plantation forests will be covered by trees at any point in time. </w:t>
      </w:r>
    </w:p>
    <w:p w:rsidR="00DF141A" w:rsidRDefault="00DF141A" w:rsidP="00DF141A">
      <w:pPr>
        <w:ind w:left="1080"/>
      </w:pPr>
      <w:r>
        <w:rPr>
          <w:u w:val="single"/>
        </w:rPr>
        <w:t>Name</w:t>
      </w:r>
      <w:r>
        <w:t xml:space="preserve">: file can be named anything </w:t>
      </w:r>
    </w:p>
    <w:p w:rsidR="00DF141A" w:rsidRPr="009E559E" w:rsidRDefault="00DF141A" w:rsidP="00DF141A">
      <w:pPr>
        <w:ind w:left="1080"/>
      </w:pPr>
      <w:r>
        <w:rPr>
          <w:u w:val="single"/>
        </w:rPr>
        <w:t>File type:</w:t>
      </w:r>
      <w:r w:rsidRPr="009E559E">
        <w:t xml:space="preserve">  *.dbf </w:t>
      </w:r>
    </w:p>
    <w:p w:rsidR="00DF141A" w:rsidRDefault="00DF141A" w:rsidP="00DF141A">
      <w:pPr>
        <w:ind w:left="1080"/>
      </w:pPr>
      <w:r>
        <w:rPr>
          <w:u w:val="single"/>
        </w:rPr>
        <w:t>Rows</w:t>
      </w:r>
      <w:r>
        <w:t>: each row is a LULC class</w:t>
      </w:r>
    </w:p>
    <w:p w:rsidR="00DF141A" w:rsidRDefault="00DF141A" w:rsidP="00DF141A">
      <w:pPr>
        <w:ind w:left="1080"/>
      </w:pPr>
      <w:r>
        <w:rPr>
          <w:u w:val="single"/>
        </w:rPr>
        <w:t>Columns</w:t>
      </w:r>
      <w:r>
        <w:t xml:space="preserve">: each column contains a different attribute of each LULC class, and must be named as follows: </w:t>
      </w:r>
    </w:p>
    <w:p w:rsidR="00DF141A" w:rsidRPr="00301627" w:rsidRDefault="00DF141A" w:rsidP="00DF141A">
      <w:pPr>
        <w:numPr>
          <w:ilvl w:val="0"/>
          <w:numId w:val="3"/>
        </w:numPr>
        <w:suppressAutoHyphens/>
        <w:ind w:left="1800"/>
      </w:pPr>
      <w:r w:rsidRPr="00301627">
        <w:rPr>
          <w:i/>
        </w:rPr>
        <w:t>LULC</w:t>
      </w:r>
      <w:r w:rsidRPr="00301627">
        <w:t xml:space="preserve">: code of land use/land cover class (e.g., 1 for forest, 3 for grassland, etc.). </w:t>
      </w:r>
      <w:r>
        <w:t xml:space="preserve">The </w:t>
      </w:r>
      <w:r w:rsidRPr="00301627">
        <w:t>LULC code should match the LULC codes from the current LULC map (dataset #1 above)</w:t>
      </w:r>
    </w:p>
    <w:p w:rsidR="00DF141A" w:rsidRPr="00301627" w:rsidRDefault="00DF141A" w:rsidP="00DF141A">
      <w:pPr>
        <w:numPr>
          <w:ilvl w:val="0"/>
          <w:numId w:val="3"/>
        </w:numPr>
        <w:suppressAutoHyphens/>
        <w:ind w:left="1800"/>
        <w:jc w:val="both"/>
      </w:pPr>
      <w:r w:rsidRPr="00301627">
        <w:rPr>
          <w:i/>
        </w:rPr>
        <w:t>LULC_name</w:t>
      </w:r>
      <w:r w:rsidRPr="00301627">
        <w:t>: descriptive name of LULC class (optional)</w:t>
      </w:r>
    </w:p>
    <w:p w:rsidR="00DF141A" w:rsidRPr="00301627" w:rsidRDefault="00DF141A" w:rsidP="00DF141A">
      <w:pPr>
        <w:numPr>
          <w:ilvl w:val="0"/>
          <w:numId w:val="3"/>
        </w:numPr>
        <w:suppressAutoHyphens/>
        <w:ind w:left="1800"/>
        <w:jc w:val="both"/>
      </w:pPr>
      <w:r w:rsidRPr="00301627">
        <w:rPr>
          <w:i/>
        </w:rPr>
        <w:t>C_above</w:t>
      </w:r>
      <w:r w:rsidRPr="00301627">
        <w:t>: amount of carbon stored in aboveground biomass (in Mg ha</w:t>
      </w:r>
      <w:r w:rsidRPr="00301627">
        <w:rPr>
          <w:vertAlign w:val="superscript"/>
        </w:rPr>
        <w:t>-1</w:t>
      </w:r>
      <w:r w:rsidRPr="00301627">
        <w:t xml:space="preserve">) </w:t>
      </w:r>
    </w:p>
    <w:p w:rsidR="00DF141A" w:rsidRPr="00301627" w:rsidRDefault="00DF141A" w:rsidP="00DF141A">
      <w:pPr>
        <w:numPr>
          <w:ilvl w:val="0"/>
          <w:numId w:val="3"/>
        </w:numPr>
        <w:suppressAutoHyphens/>
        <w:ind w:left="1800"/>
        <w:jc w:val="both"/>
      </w:pPr>
      <w:r w:rsidRPr="00301627">
        <w:rPr>
          <w:i/>
        </w:rPr>
        <w:t>C_below</w:t>
      </w:r>
      <w:r w:rsidRPr="00301627">
        <w:t>: amount of carbon stored in belowground biomass (in Mg ha</w:t>
      </w:r>
      <w:r w:rsidRPr="00301627">
        <w:rPr>
          <w:vertAlign w:val="superscript"/>
        </w:rPr>
        <w:t>-1</w:t>
      </w:r>
      <w:r w:rsidRPr="00301627">
        <w:t xml:space="preserve">) </w:t>
      </w:r>
    </w:p>
    <w:p w:rsidR="00DF141A" w:rsidRPr="00301627" w:rsidRDefault="00DF141A" w:rsidP="00DF141A">
      <w:pPr>
        <w:numPr>
          <w:ilvl w:val="0"/>
          <w:numId w:val="3"/>
        </w:numPr>
        <w:suppressAutoHyphens/>
        <w:ind w:left="1800"/>
        <w:jc w:val="both"/>
      </w:pPr>
      <w:r w:rsidRPr="00301627">
        <w:rPr>
          <w:i/>
        </w:rPr>
        <w:t>C_soil</w:t>
      </w:r>
      <w:r w:rsidRPr="00301627">
        <w:t>: amount of carbon stored in soil (in Mg ha</w:t>
      </w:r>
      <w:r w:rsidRPr="00301627">
        <w:rPr>
          <w:vertAlign w:val="superscript"/>
        </w:rPr>
        <w:t>-1</w:t>
      </w:r>
      <w:r w:rsidRPr="00301627">
        <w:t>)</w:t>
      </w:r>
    </w:p>
    <w:p w:rsidR="00DF141A" w:rsidRDefault="00DF141A" w:rsidP="00DF141A">
      <w:pPr>
        <w:numPr>
          <w:ilvl w:val="0"/>
          <w:numId w:val="3"/>
        </w:numPr>
        <w:suppressAutoHyphens/>
        <w:ind w:left="1800"/>
        <w:jc w:val="both"/>
      </w:pPr>
      <w:r w:rsidRPr="004F265B">
        <w:rPr>
          <w:i/>
        </w:rPr>
        <w:t>C_dead</w:t>
      </w:r>
      <w:r>
        <w:t>: amount of carbon stored in dead organic matter (in Mg ha</w:t>
      </w:r>
      <w:r w:rsidRPr="00822DFF">
        <w:rPr>
          <w:vertAlign w:val="superscript"/>
        </w:rPr>
        <w:t>-1</w:t>
      </w:r>
      <w:r>
        <w:t>)</w:t>
      </w:r>
    </w:p>
    <w:p w:rsidR="00DF141A" w:rsidRDefault="00DF141A" w:rsidP="00DF141A">
      <w:pPr>
        <w:ind w:left="720"/>
        <w:jc w:val="both"/>
      </w:pPr>
    </w:p>
    <w:p w:rsidR="00DF141A" w:rsidRDefault="00DF141A" w:rsidP="00DF141A">
      <w:pPr>
        <w:ind w:left="540"/>
        <w:jc w:val="both"/>
      </w:pPr>
      <w:r w:rsidRPr="00F27A69">
        <w:rPr>
          <w:b/>
          <w:u w:val="single"/>
        </w:rPr>
        <w:t>Note</w:t>
      </w:r>
      <w:r>
        <w:t xml:space="preserve">: The unit for all carbon pools is Mg of </w:t>
      </w:r>
      <w:r w:rsidRPr="001211F8">
        <w:rPr>
          <w:b/>
          <w:bCs/>
        </w:rPr>
        <w:t>elemental carbon</w:t>
      </w:r>
      <w:r>
        <w:t xml:space="preserve"> ha</w:t>
      </w:r>
      <w:r w:rsidRPr="00F079CD">
        <w:rPr>
          <w:vertAlign w:val="superscript"/>
        </w:rPr>
        <w:t>-1</w:t>
      </w:r>
      <w:r>
        <w:t xml:space="preserve">. This means that if your data source has information on Mg of </w:t>
      </w:r>
      <w:r w:rsidRPr="00F27A69">
        <w:rPr>
          <w:i/>
        </w:rPr>
        <w:t>CO</w:t>
      </w:r>
      <w:r w:rsidRPr="00F27A69">
        <w:rPr>
          <w:i/>
          <w:vertAlign w:val="subscript"/>
        </w:rPr>
        <w:t>2</w:t>
      </w:r>
      <w:r>
        <w:t xml:space="preserve"> stored ha</w:t>
      </w:r>
      <w:r w:rsidRPr="00206EEC">
        <w:rPr>
          <w:vertAlign w:val="superscript"/>
        </w:rPr>
        <w:t>-1</w:t>
      </w:r>
      <w:r>
        <w:t>, you need to convert those numbers to elemental carbon by multiplying Mg of CO</w:t>
      </w:r>
      <w:r w:rsidRPr="001211F8">
        <w:rPr>
          <w:vertAlign w:val="subscript"/>
        </w:rPr>
        <w:t>2</w:t>
      </w:r>
      <w:r>
        <w:t xml:space="preserve"> stored ha</w:t>
      </w:r>
      <w:r w:rsidRPr="00206EEC">
        <w:rPr>
          <w:vertAlign w:val="superscript"/>
        </w:rPr>
        <w:t>-1</w:t>
      </w:r>
      <w:r>
        <w:t xml:space="preserve">by 0.2727. </w:t>
      </w:r>
    </w:p>
    <w:p w:rsidR="00DF141A" w:rsidRPr="009E559E" w:rsidRDefault="00DF141A" w:rsidP="00DF141A">
      <w:pPr>
        <w:ind w:left="720"/>
        <w:jc w:val="both"/>
      </w:pPr>
      <w:r>
        <w:rPr>
          <w:b/>
          <w:bCs/>
          <w:u w:val="single"/>
        </w:rPr>
        <w:t>Sample</w:t>
      </w:r>
      <w:r w:rsidRPr="009E559E">
        <w:rPr>
          <w:b/>
          <w:bCs/>
          <w:u w:val="single"/>
        </w:rPr>
        <w:t xml:space="preserve"> data set</w:t>
      </w:r>
      <w:r w:rsidRPr="00F27A69">
        <w:t xml:space="preserve">: </w:t>
      </w:r>
      <w:r w:rsidRPr="009E559E">
        <w:t>\Invest\Carbon\Input\</w:t>
      </w:r>
      <w:r w:rsidRPr="009E559E">
        <w:rPr>
          <w:b/>
        </w:rPr>
        <w:t>carbon_pools_</w:t>
      </w:r>
      <w:r>
        <w:rPr>
          <w:b/>
        </w:rPr>
        <w:t>samp</w:t>
      </w:r>
      <w:r w:rsidRPr="009E559E">
        <w:rPr>
          <w:b/>
        </w:rPr>
        <w:t>.dbf</w:t>
      </w:r>
    </w:p>
    <w:p w:rsidR="00DF141A" w:rsidRPr="009E559E" w:rsidRDefault="00DF141A" w:rsidP="00DF141A">
      <w:pPr>
        <w:ind w:left="720"/>
        <w:jc w:val="both"/>
      </w:pPr>
    </w:p>
    <w:p w:rsidR="00DF141A" w:rsidRDefault="00DF141A" w:rsidP="00DF141A">
      <w:pPr>
        <w:ind w:left="540"/>
        <w:jc w:val="both"/>
        <w:rPr>
          <w:u w:val="single"/>
        </w:rPr>
      </w:pPr>
    </w:p>
    <w:p w:rsidR="00DF141A" w:rsidRDefault="00DF141A" w:rsidP="00DF141A">
      <w:pPr>
        <w:ind w:left="540"/>
        <w:jc w:val="both"/>
        <w:rPr>
          <w:u w:val="single"/>
        </w:rPr>
      </w:pPr>
      <w:r>
        <w:rPr>
          <w:u w:val="single"/>
        </w:rPr>
        <w:t>Example</w:t>
      </w:r>
      <w:r>
        <w:t xml:space="preserve">: Hypothetical study with five LULC classes. Class 1 (Forest) contains the most carbon in all pools. In this example, carbon stored in above- and below-ground biomass differs strongly among land use classes, but carbon stored in soil varies less dramatically.  </w:t>
      </w:r>
    </w:p>
    <w:p w:rsidR="00DF141A" w:rsidRDefault="00DF141A" w:rsidP="00DF141A">
      <w:pPr>
        <w:ind w:left="720"/>
        <w:jc w:val="both"/>
        <w:rPr>
          <w:b/>
          <w:bCs/>
          <w:sz w:val="20"/>
          <w:szCs w:val="20"/>
        </w:rPr>
      </w:pPr>
    </w:p>
    <w:tbl>
      <w:tblPr>
        <w:tblW w:w="0" w:type="auto"/>
        <w:tblInd w:w="1368" w:type="dxa"/>
        <w:tblLayout w:type="fixed"/>
        <w:tblLook w:val="0000"/>
      </w:tblPr>
      <w:tblGrid>
        <w:gridCol w:w="1414"/>
        <w:gridCol w:w="1870"/>
        <w:gridCol w:w="1122"/>
        <w:gridCol w:w="1122"/>
        <w:gridCol w:w="935"/>
        <w:gridCol w:w="935"/>
      </w:tblGrid>
      <w:tr w:rsidR="00DF141A" w:rsidTr="00D50A14">
        <w:trPr>
          <w:trHeight w:val="255"/>
        </w:trPr>
        <w:tc>
          <w:tcPr>
            <w:tcW w:w="1414" w:type="dxa"/>
            <w:tcBorders>
              <w:top w:val="single" w:sz="4" w:space="0" w:color="000000"/>
              <w:left w:val="single" w:sz="4" w:space="0" w:color="000000"/>
              <w:bottom w:val="single" w:sz="4" w:space="0" w:color="000000"/>
            </w:tcBorders>
            <w:shd w:val="clear" w:color="auto" w:fill="99CCFF"/>
            <w:vAlign w:val="center"/>
          </w:tcPr>
          <w:p w:rsidR="00DF141A" w:rsidRDefault="00DF141A" w:rsidP="00D50A14">
            <w:pPr>
              <w:snapToGrid w:val="0"/>
              <w:jc w:val="center"/>
              <w:rPr>
                <w:b/>
                <w:bCs/>
                <w:sz w:val="20"/>
                <w:szCs w:val="20"/>
              </w:rPr>
            </w:pPr>
            <w:r>
              <w:rPr>
                <w:b/>
                <w:bCs/>
                <w:sz w:val="20"/>
                <w:szCs w:val="20"/>
              </w:rPr>
              <w:t>LULC</w:t>
            </w:r>
          </w:p>
        </w:tc>
        <w:tc>
          <w:tcPr>
            <w:tcW w:w="1870" w:type="dxa"/>
            <w:tcBorders>
              <w:top w:val="single" w:sz="4" w:space="0" w:color="000000"/>
              <w:left w:val="single" w:sz="4" w:space="0" w:color="000000"/>
              <w:bottom w:val="single" w:sz="4" w:space="0" w:color="000000"/>
            </w:tcBorders>
            <w:shd w:val="clear" w:color="auto" w:fill="99CCFF"/>
            <w:vAlign w:val="center"/>
          </w:tcPr>
          <w:p w:rsidR="00DF141A" w:rsidRDefault="00DF141A" w:rsidP="00D50A14">
            <w:pPr>
              <w:snapToGrid w:val="0"/>
              <w:jc w:val="center"/>
              <w:rPr>
                <w:b/>
                <w:bCs/>
                <w:sz w:val="20"/>
                <w:szCs w:val="20"/>
              </w:rPr>
            </w:pPr>
            <w:r>
              <w:rPr>
                <w:b/>
                <w:bCs/>
                <w:sz w:val="20"/>
                <w:szCs w:val="20"/>
              </w:rPr>
              <w:t>LULC_name</w:t>
            </w:r>
          </w:p>
        </w:tc>
        <w:tc>
          <w:tcPr>
            <w:tcW w:w="1122" w:type="dxa"/>
            <w:tcBorders>
              <w:top w:val="single" w:sz="4" w:space="0" w:color="000000"/>
              <w:left w:val="single" w:sz="4" w:space="0" w:color="000000"/>
              <w:bottom w:val="single" w:sz="4" w:space="0" w:color="000000"/>
            </w:tcBorders>
            <w:shd w:val="clear" w:color="auto" w:fill="99CCFF"/>
            <w:vAlign w:val="center"/>
          </w:tcPr>
          <w:p w:rsidR="00DF141A" w:rsidRDefault="00DF141A" w:rsidP="00D50A14">
            <w:pPr>
              <w:snapToGrid w:val="0"/>
              <w:jc w:val="center"/>
              <w:rPr>
                <w:b/>
                <w:bCs/>
                <w:sz w:val="20"/>
                <w:szCs w:val="20"/>
              </w:rPr>
            </w:pPr>
            <w:r>
              <w:rPr>
                <w:b/>
                <w:bCs/>
                <w:sz w:val="20"/>
                <w:szCs w:val="20"/>
              </w:rPr>
              <w:t>C_above</w:t>
            </w:r>
          </w:p>
        </w:tc>
        <w:tc>
          <w:tcPr>
            <w:tcW w:w="1122" w:type="dxa"/>
            <w:tcBorders>
              <w:top w:val="single" w:sz="4" w:space="0" w:color="000000"/>
              <w:left w:val="single" w:sz="4" w:space="0" w:color="000000"/>
              <w:bottom w:val="single" w:sz="4" w:space="0" w:color="000000"/>
            </w:tcBorders>
            <w:shd w:val="clear" w:color="auto" w:fill="99CCFF"/>
            <w:vAlign w:val="center"/>
          </w:tcPr>
          <w:p w:rsidR="00DF141A" w:rsidRDefault="00DF141A" w:rsidP="00D50A14">
            <w:pPr>
              <w:snapToGrid w:val="0"/>
              <w:jc w:val="center"/>
              <w:rPr>
                <w:b/>
                <w:bCs/>
                <w:sz w:val="20"/>
                <w:szCs w:val="20"/>
              </w:rPr>
            </w:pPr>
            <w:r>
              <w:rPr>
                <w:b/>
                <w:bCs/>
                <w:sz w:val="20"/>
                <w:szCs w:val="20"/>
              </w:rPr>
              <w:t>C_below</w:t>
            </w:r>
          </w:p>
        </w:tc>
        <w:tc>
          <w:tcPr>
            <w:tcW w:w="935" w:type="dxa"/>
            <w:tcBorders>
              <w:top w:val="single" w:sz="4" w:space="0" w:color="000000"/>
              <w:left w:val="single" w:sz="4" w:space="0" w:color="000000"/>
              <w:bottom w:val="single" w:sz="4" w:space="0" w:color="000000"/>
            </w:tcBorders>
            <w:shd w:val="clear" w:color="auto" w:fill="99CCFF"/>
            <w:vAlign w:val="center"/>
          </w:tcPr>
          <w:p w:rsidR="00DF141A" w:rsidRDefault="00DF141A" w:rsidP="00D50A14">
            <w:pPr>
              <w:snapToGrid w:val="0"/>
              <w:jc w:val="center"/>
              <w:rPr>
                <w:b/>
                <w:bCs/>
                <w:sz w:val="20"/>
                <w:szCs w:val="20"/>
              </w:rPr>
            </w:pPr>
            <w:r>
              <w:rPr>
                <w:b/>
                <w:bCs/>
                <w:sz w:val="20"/>
                <w:szCs w:val="20"/>
              </w:rPr>
              <w:t>C_soil</w:t>
            </w:r>
          </w:p>
        </w:tc>
        <w:tc>
          <w:tcPr>
            <w:tcW w:w="935"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DF141A" w:rsidRDefault="00DF141A" w:rsidP="00D50A14">
            <w:pPr>
              <w:snapToGrid w:val="0"/>
              <w:jc w:val="center"/>
              <w:rPr>
                <w:b/>
                <w:bCs/>
                <w:sz w:val="20"/>
                <w:szCs w:val="20"/>
              </w:rPr>
            </w:pPr>
            <w:r>
              <w:rPr>
                <w:b/>
                <w:bCs/>
                <w:sz w:val="20"/>
                <w:szCs w:val="20"/>
              </w:rPr>
              <w:t>C_dead</w:t>
            </w:r>
          </w:p>
        </w:tc>
      </w:tr>
      <w:tr w:rsidR="00DF141A" w:rsidTr="00D50A14">
        <w:trPr>
          <w:trHeight w:val="255"/>
        </w:trPr>
        <w:tc>
          <w:tcPr>
            <w:tcW w:w="1414"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1</w:t>
            </w:r>
          </w:p>
        </w:tc>
        <w:tc>
          <w:tcPr>
            <w:tcW w:w="1870" w:type="dxa"/>
            <w:tcBorders>
              <w:top w:val="single" w:sz="4" w:space="0" w:color="000000"/>
              <w:left w:val="single" w:sz="4" w:space="0" w:color="000000"/>
              <w:bottom w:val="single" w:sz="4" w:space="0" w:color="000000"/>
            </w:tcBorders>
            <w:vAlign w:val="center"/>
          </w:tcPr>
          <w:p w:rsidR="00DF141A" w:rsidRDefault="00DF141A" w:rsidP="00D50A14">
            <w:pPr>
              <w:snapToGrid w:val="0"/>
              <w:rPr>
                <w:sz w:val="20"/>
                <w:szCs w:val="20"/>
              </w:rPr>
            </w:pPr>
            <w:r>
              <w:rPr>
                <w:sz w:val="20"/>
                <w:szCs w:val="20"/>
              </w:rPr>
              <w:t>Forest</w:t>
            </w:r>
          </w:p>
        </w:tc>
        <w:tc>
          <w:tcPr>
            <w:tcW w:w="1122"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140</w:t>
            </w:r>
          </w:p>
        </w:tc>
        <w:tc>
          <w:tcPr>
            <w:tcW w:w="1122"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70</w:t>
            </w:r>
          </w:p>
        </w:tc>
        <w:tc>
          <w:tcPr>
            <w:tcW w:w="935"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35</w:t>
            </w:r>
          </w:p>
        </w:tc>
        <w:tc>
          <w:tcPr>
            <w:tcW w:w="935" w:type="dxa"/>
            <w:tcBorders>
              <w:top w:val="single" w:sz="4" w:space="0" w:color="000000"/>
              <w:left w:val="single" w:sz="4" w:space="0" w:color="000000"/>
              <w:bottom w:val="single" w:sz="4" w:space="0" w:color="000000"/>
              <w:right w:val="single" w:sz="4" w:space="0" w:color="000000"/>
            </w:tcBorders>
            <w:vAlign w:val="center"/>
          </w:tcPr>
          <w:p w:rsidR="00DF141A" w:rsidRDefault="00DF141A" w:rsidP="00D50A14">
            <w:pPr>
              <w:snapToGrid w:val="0"/>
              <w:jc w:val="center"/>
              <w:rPr>
                <w:sz w:val="20"/>
                <w:szCs w:val="20"/>
              </w:rPr>
            </w:pPr>
            <w:r>
              <w:rPr>
                <w:sz w:val="20"/>
                <w:szCs w:val="20"/>
              </w:rPr>
              <w:t>12</w:t>
            </w:r>
          </w:p>
        </w:tc>
      </w:tr>
      <w:tr w:rsidR="00DF141A" w:rsidTr="00D50A14">
        <w:trPr>
          <w:trHeight w:val="255"/>
        </w:trPr>
        <w:tc>
          <w:tcPr>
            <w:tcW w:w="1414"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2</w:t>
            </w:r>
          </w:p>
        </w:tc>
        <w:tc>
          <w:tcPr>
            <w:tcW w:w="1870"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rPr>
                <w:sz w:val="20"/>
                <w:szCs w:val="20"/>
              </w:rPr>
            </w:pPr>
            <w:r>
              <w:rPr>
                <w:sz w:val="20"/>
                <w:szCs w:val="20"/>
              </w:rPr>
              <w:t>Coffee</w:t>
            </w:r>
          </w:p>
        </w:tc>
        <w:tc>
          <w:tcPr>
            <w:tcW w:w="1122"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65</w:t>
            </w:r>
          </w:p>
        </w:tc>
        <w:tc>
          <w:tcPr>
            <w:tcW w:w="1122"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40</w:t>
            </w:r>
          </w:p>
        </w:tc>
        <w:tc>
          <w:tcPr>
            <w:tcW w:w="935"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25</w:t>
            </w:r>
          </w:p>
        </w:tc>
        <w:tc>
          <w:tcPr>
            <w:tcW w:w="935" w:type="dxa"/>
            <w:tcBorders>
              <w:top w:val="single" w:sz="4" w:space="0" w:color="000000"/>
              <w:left w:val="single" w:sz="4" w:space="0" w:color="000000"/>
              <w:bottom w:val="single" w:sz="4" w:space="0" w:color="000000"/>
              <w:right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6</w:t>
            </w:r>
          </w:p>
        </w:tc>
      </w:tr>
      <w:tr w:rsidR="00DF141A" w:rsidTr="00D50A14">
        <w:trPr>
          <w:trHeight w:val="255"/>
        </w:trPr>
        <w:tc>
          <w:tcPr>
            <w:tcW w:w="1414"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3</w:t>
            </w:r>
          </w:p>
        </w:tc>
        <w:tc>
          <w:tcPr>
            <w:tcW w:w="1870" w:type="dxa"/>
            <w:tcBorders>
              <w:top w:val="single" w:sz="4" w:space="0" w:color="000000"/>
              <w:left w:val="single" w:sz="4" w:space="0" w:color="000000"/>
              <w:bottom w:val="single" w:sz="4" w:space="0" w:color="000000"/>
            </w:tcBorders>
            <w:vAlign w:val="center"/>
          </w:tcPr>
          <w:p w:rsidR="00DF141A" w:rsidRDefault="00DF141A" w:rsidP="00D50A14">
            <w:pPr>
              <w:snapToGrid w:val="0"/>
              <w:rPr>
                <w:sz w:val="20"/>
                <w:szCs w:val="20"/>
              </w:rPr>
            </w:pPr>
            <w:r>
              <w:rPr>
                <w:sz w:val="20"/>
                <w:szCs w:val="20"/>
              </w:rPr>
              <w:t>Pasture/grass</w:t>
            </w:r>
          </w:p>
        </w:tc>
        <w:tc>
          <w:tcPr>
            <w:tcW w:w="1122"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15</w:t>
            </w:r>
          </w:p>
        </w:tc>
        <w:tc>
          <w:tcPr>
            <w:tcW w:w="1122"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35</w:t>
            </w:r>
          </w:p>
        </w:tc>
        <w:tc>
          <w:tcPr>
            <w:tcW w:w="935"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30</w:t>
            </w:r>
          </w:p>
        </w:tc>
        <w:tc>
          <w:tcPr>
            <w:tcW w:w="935" w:type="dxa"/>
            <w:tcBorders>
              <w:top w:val="single" w:sz="4" w:space="0" w:color="000000"/>
              <w:left w:val="single" w:sz="4" w:space="0" w:color="000000"/>
              <w:bottom w:val="single" w:sz="4" w:space="0" w:color="000000"/>
              <w:right w:val="single" w:sz="4" w:space="0" w:color="000000"/>
            </w:tcBorders>
            <w:vAlign w:val="center"/>
          </w:tcPr>
          <w:p w:rsidR="00DF141A" w:rsidRDefault="00DF141A" w:rsidP="00D50A14">
            <w:pPr>
              <w:snapToGrid w:val="0"/>
              <w:jc w:val="center"/>
              <w:rPr>
                <w:sz w:val="20"/>
                <w:szCs w:val="20"/>
              </w:rPr>
            </w:pPr>
            <w:r>
              <w:rPr>
                <w:sz w:val="20"/>
                <w:szCs w:val="20"/>
              </w:rPr>
              <w:t>4</w:t>
            </w:r>
          </w:p>
        </w:tc>
      </w:tr>
      <w:tr w:rsidR="00DF141A" w:rsidTr="00D50A14">
        <w:trPr>
          <w:trHeight w:val="255"/>
        </w:trPr>
        <w:tc>
          <w:tcPr>
            <w:tcW w:w="1414"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4</w:t>
            </w:r>
          </w:p>
        </w:tc>
        <w:tc>
          <w:tcPr>
            <w:tcW w:w="1870"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rPr>
                <w:sz w:val="20"/>
                <w:szCs w:val="20"/>
              </w:rPr>
            </w:pPr>
            <w:r>
              <w:rPr>
                <w:sz w:val="20"/>
                <w:szCs w:val="20"/>
              </w:rPr>
              <w:t>Shrub/undergrowth</w:t>
            </w:r>
          </w:p>
        </w:tc>
        <w:tc>
          <w:tcPr>
            <w:tcW w:w="1122"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30</w:t>
            </w:r>
          </w:p>
        </w:tc>
        <w:tc>
          <w:tcPr>
            <w:tcW w:w="1122"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30</w:t>
            </w:r>
          </w:p>
        </w:tc>
        <w:tc>
          <w:tcPr>
            <w:tcW w:w="935" w:type="dxa"/>
            <w:tcBorders>
              <w:top w:val="single" w:sz="4" w:space="0" w:color="000000"/>
              <w:left w:val="single" w:sz="4" w:space="0" w:color="000000"/>
              <w:bottom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30</w:t>
            </w:r>
          </w:p>
        </w:tc>
        <w:tc>
          <w:tcPr>
            <w:tcW w:w="935" w:type="dxa"/>
            <w:tcBorders>
              <w:top w:val="single" w:sz="4" w:space="0" w:color="000000"/>
              <w:left w:val="single" w:sz="4" w:space="0" w:color="000000"/>
              <w:bottom w:val="single" w:sz="4" w:space="0" w:color="000000"/>
              <w:right w:val="single" w:sz="4" w:space="0" w:color="000000"/>
            </w:tcBorders>
            <w:shd w:val="clear" w:color="auto" w:fill="DDDDDD"/>
            <w:vAlign w:val="center"/>
          </w:tcPr>
          <w:p w:rsidR="00DF141A" w:rsidRDefault="00DF141A" w:rsidP="00D50A14">
            <w:pPr>
              <w:snapToGrid w:val="0"/>
              <w:jc w:val="center"/>
              <w:rPr>
                <w:sz w:val="20"/>
                <w:szCs w:val="20"/>
              </w:rPr>
            </w:pPr>
            <w:r>
              <w:rPr>
                <w:sz w:val="20"/>
                <w:szCs w:val="20"/>
              </w:rPr>
              <w:t>13</w:t>
            </w:r>
          </w:p>
        </w:tc>
      </w:tr>
      <w:tr w:rsidR="00DF141A" w:rsidTr="00D50A14">
        <w:trPr>
          <w:trHeight w:val="255"/>
        </w:trPr>
        <w:tc>
          <w:tcPr>
            <w:tcW w:w="1414"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5</w:t>
            </w:r>
          </w:p>
        </w:tc>
        <w:tc>
          <w:tcPr>
            <w:tcW w:w="1870" w:type="dxa"/>
            <w:tcBorders>
              <w:top w:val="single" w:sz="4" w:space="0" w:color="000000"/>
              <w:left w:val="single" w:sz="4" w:space="0" w:color="000000"/>
              <w:bottom w:val="single" w:sz="4" w:space="0" w:color="000000"/>
            </w:tcBorders>
            <w:vAlign w:val="center"/>
          </w:tcPr>
          <w:p w:rsidR="00DF141A" w:rsidRDefault="00DF141A" w:rsidP="00D50A14">
            <w:pPr>
              <w:snapToGrid w:val="0"/>
              <w:rPr>
                <w:sz w:val="20"/>
                <w:szCs w:val="20"/>
              </w:rPr>
            </w:pPr>
            <w:r>
              <w:rPr>
                <w:sz w:val="20"/>
                <w:szCs w:val="20"/>
              </w:rPr>
              <w:t>Open/urban</w:t>
            </w:r>
          </w:p>
        </w:tc>
        <w:tc>
          <w:tcPr>
            <w:tcW w:w="1122"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5</w:t>
            </w:r>
          </w:p>
        </w:tc>
        <w:tc>
          <w:tcPr>
            <w:tcW w:w="1122"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5</w:t>
            </w:r>
          </w:p>
        </w:tc>
        <w:tc>
          <w:tcPr>
            <w:tcW w:w="935" w:type="dxa"/>
            <w:tcBorders>
              <w:top w:val="single" w:sz="4" w:space="0" w:color="000000"/>
              <w:left w:val="single" w:sz="4" w:space="0" w:color="000000"/>
              <w:bottom w:val="single" w:sz="4" w:space="0" w:color="000000"/>
            </w:tcBorders>
            <w:vAlign w:val="center"/>
          </w:tcPr>
          <w:p w:rsidR="00DF141A" w:rsidRDefault="00DF141A" w:rsidP="00D50A14">
            <w:pPr>
              <w:snapToGrid w:val="0"/>
              <w:jc w:val="center"/>
              <w:rPr>
                <w:sz w:val="20"/>
                <w:szCs w:val="20"/>
              </w:rPr>
            </w:pPr>
            <w:r>
              <w:rPr>
                <w:sz w:val="20"/>
                <w:szCs w:val="20"/>
              </w:rPr>
              <w:t>15</w:t>
            </w:r>
          </w:p>
        </w:tc>
        <w:tc>
          <w:tcPr>
            <w:tcW w:w="935" w:type="dxa"/>
            <w:tcBorders>
              <w:top w:val="single" w:sz="4" w:space="0" w:color="000000"/>
              <w:left w:val="single" w:sz="4" w:space="0" w:color="000000"/>
              <w:bottom w:val="single" w:sz="4" w:space="0" w:color="000000"/>
              <w:right w:val="single" w:sz="4" w:space="0" w:color="000000"/>
            </w:tcBorders>
            <w:vAlign w:val="center"/>
          </w:tcPr>
          <w:p w:rsidR="00DF141A" w:rsidRDefault="00DF141A" w:rsidP="00D50A14">
            <w:pPr>
              <w:snapToGrid w:val="0"/>
              <w:jc w:val="center"/>
              <w:rPr>
                <w:sz w:val="20"/>
                <w:szCs w:val="20"/>
              </w:rPr>
            </w:pPr>
            <w:r>
              <w:rPr>
                <w:sz w:val="20"/>
                <w:szCs w:val="20"/>
              </w:rPr>
              <w:t>2</w:t>
            </w:r>
          </w:p>
        </w:tc>
      </w:tr>
    </w:tbl>
    <w:p w:rsidR="00DF141A" w:rsidRDefault="00DF141A" w:rsidP="00DF141A"/>
    <w:p w:rsidR="00DF141A" w:rsidRDefault="00DF141A" w:rsidP="00DF141A">
      <w:pPr>
        <w:numPr>
          <w:ilvl w:val="0"/>
          <w:numId w:val="1"/>
        </w:numPr>
        <w:suppressAutoHyphens/>
        <w:jc w:val="both"/>
      </w:pPr>
      <w:r>
        <w:rPr>
          <w:b/>
        </w:rPr>
        <w:t>Current harvest rates map (optional)</w:t>
      </w:r>
      <w:r>
        <w:t xml:space="preserve">. A GIS shape file of polygons (parcels in our vernacular), contains data on: </w:t>
      </w:r>
    </w:p>
    <w:p w:rsidR="00DF141A" w:rsidRDefault="00DF141A" w:rsidP="00DF141A">
      <w:pPr>
        <w:numPr>
          <w:ilvl w:val="0"/>
          <w:numId w:val="16"/>
        </w:numPr>
        <w:suppressAutoHyphens/>
        <w:jc w:val="both"/>
      </w:pPr>
      <w:r>
        <w:t>Parcel ID</w:t>
      </w:r>
    </w:p>
    <w:p w:rsidR="00DF141A" w:rsidRDefault="00DF141A" w:rsidP="00DF141A">
      <w:pPr>
        <w:numPr>
          <w:ilvl w:val="0"/>
          <w:numId w:val="16"/>
        </w:numPr>
        <w:suppressAutoHyphens/>
        <w:jc w:val="both"/>
      </w:pPr>
      <w:r>
        <w:t>Amount of carbon, in the form of woody biomass, typically removed from</w:t>
      </w:r>
      <w:r>
        <w:tab/>
      </w:r>
      <w:r>
        <w:tab/>
        <w:t xml:space="preserve"> the parcel over the course of a harvest period</w:t>
      </w:r>
    </w:p>
    <w:p w:rsidR="00DF141A" w:rsidRDefault="00DF141A" w:rsidP="00DF141A">
      <w:pPr>
        <w:numPr>
          <w:ilvl w:val="0"/>
          <w:numId w:val="16"/>
        </w:numPr>
        <w:suppressAutoHyphens/>
        <w:jc w:val="both"/>
      </w:pPr>
      <w:r>
        <w:t>Date that the modeler wants to begin accounting for wood harvests in the</w:t>
      </w:r>
      <w:r>
        <w:tab/>
      </w:r>
      <w:r>
        <w:tab/>
        <w:t xml:space="preserve"> parcel</w:t>
      </w:r>
    </w:p>
    <w:p w:rsidR="00DF141A" w:rsidRDefault="00DF141A" w:rsidP="00DF141A">
      <w:pPr>
        <w:numPr>
          <w:ilvl w:val="0"/>
          <w:numId w:val="16"/>
        </w:numPr>
        <w:suppressAutoHyphens/>
        <w:jc w:val="both"/>
      </w:pPr>
      <w:r>
        <w:t>Frequency of harvest periods in the parcel in the past</w:t>
      </w:r>
    </w:p>
    <w:p w:rsidR="00DF141A" w:rsidRDefault="00DF141A" w:rsidP="00DF141A">
      <w:pPr>
        <w:numPr>
          <w:ilvl w:val="0"/>
          <w:numId w:val="16"/>
        </w:numPr>
        <w:suppressAutoHyphens/>
        <w:jc w:val="both"/>
      </w:pPr>
      <w:r>
        <w:t>Average decay rate of products made from the wood harvested from a parcel</w:t>
      </w:r>
    </w:p>
    <w:p w:rsidR="00DF141A" w:rsidRDefault="00DF141A" w:rsidP="00DF141A">
      <w:pPr>
        <w:numPr>
          <w:ilvl w:val="0"/>
          <w:numId w:val="16"/>
        </w:numPr>
        <w:suppressAutoHyphens/>
        <w:jc w:val="both"/>
      </w:pPr>
      <w:r>
        <w:t>Average carbon density of the wood removed form the parcel in the past</w:t>
      </w:r>
    </w:p>
    <w:p w:rsidR="00DF141A" w:rsidRDefault="00DF141A" w:rsidP="00DF141A">
      <w:pPr>
        <w:numPr>
          <w:ilvl w:val="0"/>
          <w:numId w:val="16"/>
        </w:numPr>
        <w:suppressAutoHyphens/>
        <w:jc w:val="both"/>
      </w:pPr>
      <w:r>
        <w:t xml:space="preserve">Average tree volume per ton of wood removed form the parcel in the past. </w:t>
      </w:r>
    </w:p>
    <w:p w:rsidR="00DF141A" w:rsidRDefault="00DF141A" w:rsidP="00DF141A">
      <w:pPr>
        <w:suppressAutoHyphens/>
        <w:ind w:left="720"/>
        <w:jc w:val="both"/>
      </w:pPr>
    </w:p>
    <w:p w:rsidR="00DF141A" w:rsidRDefault="00DF141A" w:rsidP="00DF141A">
      <w:pPr>
        <w:suppressAutoHyphens/>
        <w:ind w:left="540"/>
        <w:jc w:val="both"/>
      </w:pPr>
      <w:r>
        <w:lastRenderedPageBreak/>
        <w:t xml:space="preserve">The GIS polygon map should </w:t>
      </w:r>
      <w:r w:rsidRPr="00C152C9">
        <w:rPr>
          <w:i/>
        </w:rPr>
        <w:t>only</w:t>
      </w:r>
      <w:r>
        <w:t xml:space="preserve"> delineate parcels that have been harvested; all other portions of the landscape should be ignored. Note that unlike the </w:t>
      </w:r>
      <w:r w:rsidRPr="004A4A0A">
        <w:t>current LULC map</w:t>
      </w:r>
      <w:r>
        <w:t>,this file contains multiple data for each individual harvest parcel on the landscape.</w:t>
      </w:r>
    </w:p>
    <w:p w:rsidR="00DF141A" w:rsidRDefault="00DF141A" w:rsidP="00DF141A">
      <w:pPr>
        <w:ind w:left="540"/>
        <w:jc w:val="both"/>
        <w:rPr>
          <w:b/>
        </w:rPr>
      </w:pPr>
      <w:r>
        <w:rPr>
          <w:b/>
        </w:rPr>
        <w:tab/>
      </w:r>
    </w:p>
    <w:p w:rsidR="00DF141A" w:rsidRPr="00AC4F2F" w:rsidRDefault="00DF141A" w:rsidP="00DF141A">
      <w:pPr>
        <w:ind w:left="540"/>
        <w:jc w:val="both"/>
      </w:pPr>
      <w:r>
        <w:t>The amount of carbon that is removed, on average, during each harvest period can be estimated from plot surveys, market demand analyses, community surveys, or based on expert opinion. Decay rates can be estimated from literature reports (see sources in Appendix) or also based on expert opinion if necessary. If multiple types of wood products are harvested from a polygon, the user should average the rates of decay or focus on the product with the slowest decay rate (since that will affect storage the most). Because only woody biomass is included in the harvest portion of the model, it is not necessary to include harvest or decay rates for herbaceous products. If you are unable or uninterested in estimating carbon stored in harvested wood products, you do not need to supply this table and the model will ignore this pool.</w:t>
      </w:r>
    </w:p>
    <w:p w:rsidR="00DF141A" w:rsidRDefault="00DF141A" w:rsidP="00DF141A">
      <w:pPr>
        <w:ind w:left="1080"/>
        <w:jc w:val="both"/>
        <w:rPr>
          <w:u w:val="single"/>
        </w:rPr>
      </w:pPr>
    </w:p>
    <w:p w:rsidR="00DF141A" w:rsidRDefault="00DF141A" w:rsidP="00DF141A">
      <w:pPr>
        <w:ind w:left="1080"/>
        <w:jc w:val="both"/>
      </w:pPr>
      <w:r>
        <w:rPr>
          <w:u w:val="single"/>
        </w:rPr>
        <w:t>Name</w:t>
      </w:r>
      <w:r>
        <w:t>: file can be named anything</w:t>
      </w:r>
    </w:p>
    <w:p w:rsidR="00DF141A" w:rsidRDefault="00DF141A" w:rsidP="00DF141A">
      <w:pPr>
        <w:ind w:left="1080"/>
        <w:jc w:val="both"/>
        <w:rPr>
          <w:u w:val="single"/>
        </w:rPr>
      </w:pPr>
      <w:r>
        <w:rPr>
          <w:u w:val="single"/>
        </w:rPr>
        <w:t>File type</w:t>
      </w:r>
      <w:r w:rsidRPr="009B098B">
        <w:t>:</w:t>
      </w:r>
      <w:r>
        <w:t xml:space="preserve"> GIS polygon shapefile </w:t>
      </w:r>
    </w:p>
    <w:p w:rsidR="00DF141A" w:rsidRDefault="00DF141A" w:rsidP="00DF141A">
      <w:pPr>
        <w:ind w:left="1080"/>
        <w:jc w:val="both"/>
      </w:pPr>
      <w:r>
        <w:rPr>
          <w:u w:val="single"/>
        </w:rPr>
        <w:t>Rows</w:t>
      </w:r>
      <w:r>
        <w:t>: each row is a specific polygon on the landscape.</w:t>
      </w:r>
    </w:p>
    <w:p w:rsidR="00DF141A" w:rsidRDefault="00DF141A" w:rsidP="00DF141A">
      <w:pPr>
        <w:ind w:left="1080"/>
        <w:jc w:val="both"/>
      </w:pPr>
      <w:r>
        <w:rPr>
          <w:u w:val="single"/>
        </w:rPr>
        <w:t>Columns</w:t>
      </w:r>
      <w:r>
        <w:t>: columns contain attributes related to harvested wood products and must be named as follows:</w:t>
      </w:r>
    </w:p>
    <w:p w:rsidR="00DF141A" w:rsidRDefault="00DF141A" w:rsidP="00DF141A">
      <w:pPr>
        <w:numPr>
          <w:ilvl w:val="0"/>
          <w:numId w:val="6"/>
        </w:numPr>
        <w:tabs>
          <w:tab w:val="clear" w:pos="1440"/>
        </w:tabs>
        <w:suppressAutoHyphens/>
        <w:ind w:left="1800"/>
        <w:jc w:val="both"/>
      </w:pPr>
      <w:r w:rsidRPr="004F265B">
        <w:rPr>
          <w:i/>
        </w:rPr>
        <w:t>FID</w:t>
      </w:r>
      <w:r>
        <w:t>: unique identifying code for each polygon (parcels in our vernacular).</w:t>
      </w:r>
    </w:p>
    <w:p w:rsidR="00DF141A" w:rsidRDefault="00DF141A" w:rsidP="00DF141A">
      <w:pPr>
        <w:numPr>
          <w:ilvl w:val="0"/>
          <w:numId w:val="6"/>
        </w:numPr>
        <w:tabs>
          <w:tab w:val="clear" w:pos="1440"/>
        </w:tabs>
        <w:suppressAutoHyphens/>
        <w:ind w:left="1800"/>
        <w:jc w:val="both"/>
      </w:pPr>
      <w:r w:rsidRPr="004F265B">
        <w:rPr>
          <w:i/>
        </w:rPr>
        <w:t>Cut_cur</w:t>
      </w:r>
      <w:r>
        <w:t>: The amount of carbon typically removed from a parcel during a harvest period (measured in Mg ha</w:t>
      </w:r>
      <w:r w:rsidRPr="00912F16">
        <w:rPr>
          <w:vertAlign w:val="superscript"/>
        </w:rPr>
        <w:t>-1</w:t>
      </w:r>
      <w:r>
        <w:t xml:space="preserve">; the model will sum across the area of each parcel). This amount should only include the portion of the wood’s carbon that is removed from the parcel (e.g., the carbon in the wood delivered to a saw mill). In other words, the slash and other waste from a wood harvest should be ignored because the model assumes that its carbon content is lost to the atmosphere instantly (the “cur” at the end of this attribute is used to relate it to the “current” LULC map).  </w:t>
      </w:r>
    </w:p>
    <w:p w:rsidR="00DF141A" w:rsidRDefault="00DF141A" w:rsidP="00DF141A">
      <w:pPr>
        <w:numPr>
          <w:ilvl w:val="0"/>
          <w:numId w:val="6"/>
        </w:numPr>
        <w:tabs>
          <w:tab w:val="clear" w:pos="1440"/>
        </w:tabs>
        <w:suppressAutoHyphens/>
        <w:ind w:left="1800"/>
        <w:jc w:val="both"/>
      </w:pPr>
      <w:r w:rsidRPr="004F265B">
        <w:rPr>
          <w:i/>
        </w:rPr>
        <w:t>Start_date</w:t>
      </w:r>
      <w:r>
        <w:t xml:space="preserve">: The first year the carbon removed from a forest will be accounted for in the HWP pool. The first year should coincide with a year in which wood was actually harvested from the parcel. If wood was harvested from a parcel in 1995, 2000, and 2005 and the LULC map being evaluated is from 2005 then </w:t>
      </w:r>
      <w:r w:rsidRPr="00510849">
        <w:rPr>
          <w:i/>
        </w:rPr>
        <w:t>St_date</w:t>
      </w:r>
      <w:r>
        <w:t xml:space="preserve"> can equal 1995, 2000, or 2005; it is your choice.</w:t>
      </w:r>
    </w:p>
    <w:p w:rsidR="00DF141A" w:rsidRDefault="00DF141A" w:rsidP="00DF141A">
      <w:pPr>
        <w:numPr>
          <w:ilvl w:val="0"/>
          <w:numId w:val="6"/>
        </w:numPr>
        <w:tabs>
          <w:tab w:val="clear" w:pos="1440"/>
        </w:tabs>
        <w:suppressAutoHyphens/>
        <w:ind w:left="1800"/>
        <w:jc w:val="both"/>
      </w:pPr>
      <w:r w:rsidRPr="004F265B">
        <w:rPr>
          <w:i/>
        </w:rPr>
        <w:t>Freq_cur</w:t>
      </w:r>
      <w:r>
        <w:t xml:space="preserve">: The frequency, in years, with which the </w:t>
      </w:r>
      <w:r w:rsidRPr="00644438">
        <w:rPr>
          <w:i/>
        </w:rPr>
        <w:t>Cut_cur</w:t>
      </w:r>
      <w:r>
        <w:t xml:space="preserve"> amount is harvested.  If the value is 1 then the </w:t>
      </w:r>
      <w:r w:rsidRPr="00644438">
        <w:rPr>
          <w:i/>
        </w:rPr>
        <w:t>Cut_cur</w:t>
      </w:r>
      <w:r>
        <w:t xml:space="preserve"> amount is removed annually from the parcel, if 5 then every 5 years, etc.   </w:t>
      </w:r>
    </w:p>
    <w:p w:rsidR="00DF141A" w:rsidRDefault="00DF141A" w:rsidP="00DF141A">
      <w:pPr>
        <w:numPr>
          <w:ilvl w:val="0"/>
          <w:numId w:val="6"/>
        </w:numPr>
        <w:tabs>
          <w:tab w:val="clear" w:pos="1440"/>
        </w:tabs>
        <w:suppressAutoHyphens/>
        <w:ind w:left="1800"/>
        <w:jc w:val="both"/>
      </w:pPr>
      <w:r w:rsidRPr="004F265B">
        <w:rPr>
          <w:i/>
        </w:rPr>
        <w:t>Decay_cur</w:t>
      </w:r>
      <w:r>
        <w:t>: The half-life of wood products harvested, measured in years.</w:t>
      </w:r>
    </w:p>
    <w:p w:rsidR="00DF141A" w:rsidRDefault="00DF141A" w:rsidP="00DF141A">
      <w:pPr>
        <w:numPr>
          <w:ilvl w:val="0"/>
          <w:numId w:val="6"/>
        </w:numPr>
        <w:tabs>
          <w:tab w:val="clear" w:pos="1440"/>
        </w:tabs>
        <w:suppressAutoHyphens/>
        <w:ind w:left="1800"/>
        <w:jc w:val="both"/>
      </w:pPr>
      <w:r w:rsidRPr="004F265B">
        <w:rPr>
          <w:i/>
        </w:rPr>
        <w:t>C_den_cur</w:t>
      </w:r>
      <w:r>
        <w:t>: The carbon density in the harvested wood (MgC Mg</w:t>
      </w:r>
      <w:r w:rsidRPr="00E91085">
        <w:rPr>
          <w:vertAlign w:val="superscript"/>
        </w:rPr>
        <w:t>-1</w:t>
      </w:r>
      <w:r>
        <w:t xml:space="preserve"> of dry wood). Typically, the statistic ranges between 0.43 and 0.55 (see table 4.3 of IPCC (2006)). If </w:t>
      </w:r>
      <w:r w:rsidRPr="00510849">
        <w:rPr>
          <w:i/>
        </w:rPr>
        <w:t>C_den</w:t>
      </w:r>
      <w:r>
        <w:rPr>
          <w:i/>
        </w:rPr>
        <w:t>_cur</w:t>
      </w:r>
      <w:r>
        <w:t xml:space="preserve"> is not known for a parcel set it equal to 0.5.</w:t>
      </w:r>
    </w:p>
    <w:p w:rsidR="00DF141A" w:rsidRDefault="00DF141A" w:rsidP="00DF141A">
      <w:pPr>
        <w:numPr>
          <w:ilvl w:val="0"/>
          <w:numId w:val="6"/>
        </w:numPr>
        <w:tabs>
          <w:tab w:val="clear" w:pos="1440"/>
        </w:tabs>
        <w:suppressAutoHyphens/>
        <w:ind w:left="1800"/>
        <w:jc w:val="both"/>
        <w:rPr>
          <w:b/>
          <w:bCs/>
          <w:u w:val="single"/>
        </w:rPr>
      </w:pPr>
      <w:r w:rsidRPr="004F265B">
        <w:rPr>
          <w:i/>
        </w:rPr>
        <w:t>BCEF_cur</w:t>
      </w:r>
      <w:r>
        <w:t>: An expansion factor that translates the mass of harvested wood into volume of harvested wood (</w:t>
      </w:r>
      <w:r w:rsidRPr="00301627">
        <w:rPr>
          <w:bCs/>
        </w:rPr>
        <w:t>Biomass Conversion Expansion Factor</w:t>
      </w:r>
      <w:r>
        <w:t>). The expansion factor is measured in Mgof dry wood per m</w:t>
      </w:r>
      <w:r w:rsidRPr="00E91085">
        <w:rPr>
          <w:vertAlign w:val="superscript"/>
        </w:rPr>
        <w:t>3</w:t>
      </w:r>
      <w:r w:rsidRPr="00556B31">
        <w:t xml:space="preserve"> of wood</w:t>
      </w:r>
      <w:r>
        <w:t xml:space="preserve"> and is a function of stand type and stand age. If you do not have data on this expansion </w:t>
      </w:r>
      <w:r>
        <w:lastRenderedPageBreak/>
        <w:t>factor you can use the BCEF</w:t>
      </w:r>
      <w:r w:rsidRPr="00E91085">
        <w:rPr>
          <w:vertAlign w:val="subscript"/>
        </w:rPr>
        <w:t>R</w:t>
      </w:r>
      <w:r>
        <w:t xml:space="preserve"> row in table 4.5 of IPCC (2006). Otherwise, set this expansion factor equal to 1 for each parcel.</w:t>
      </w:r>
    </w:p>
    <w:p w:rsidR="00DF141A" w:rsidRDefault="00DF141A" w:rsidP="00DF141A">
      <w:pPr>
        <w:ind w:left="720"/>
        <w:jc w:val="both"/>
      </w:pPr>
      <w:r>
        <w:rPr>
          <w:b/>
          <w:bCs/>
          <w:u w:val="single"/>
        </w:rPr>
        <w:t>Sample</w:t>
      </w:r>
      <w:r w:rsidRPr="009E559E">
        <w:rPr>
          <w:b/>
          <w:bCs/>
          <w:u w:val="single"/>
        </w:rPr>
        <w:t xml:space="preserve"> data set</w:t>
      </w:r>
      <w:r w:rsidRPr="001E33EF">
        <w:rPr>
          <w:b/>
          <w:bCs/>
        </w:rPr>
        <w:t>:</w:t>
      </w:r>
      <w:r>
        <w:t xml:space="preserve"> \Invest</w:t>
      </w:r>
      <w:r w:rsidRPr="005B65FE">
        <w:t>\Carbon\Input\</w:t>
      </w:r>
      <w:r w:rsidRPr="00EC4F5D">
        <w:rPr>
          <w:b/>
        </w:rPr>
        <w:t>harv</w:t>
      </w:r>
      <w:r>
        <w:rPr>
          <w:b/>
        </w:rPr>
        <w:t>_samp_</w:t>
      </w:r>
      <w:r w:rsidRPr="00EC4F5D">
        <w:rPr>
          <w:b/>
        </w:rPr>
        <w:t>cur.shp</w:t>
      </w:r>
    </w:p>
    <w:p w:rsidR="00DF141A" w:rsidRDefault="00DF141A" w:rsidP="00DF141A">
      <w:pPr>
        <w:ind w:left="540"/>
        <w:jc w:val="both"/>
      </w:pPr>
      <w:r w:rsidRPr="0076293F">
        <w:rPr>
          <w:u w:val="single"/>
        </w:rPr>
        <w:t>Example</w:t>
      </w:r>
      <w:r w:rsidRPr="0076293F">
        <w:t xml:space="preserve">: A hypothetical study </w:t>
      </w:r>
      <w:r>
        <w:t xml:space="preserve">of carbon storage in HWP for four </w:t>
      </w:r>
      <w:r w:rsidRPr="0076293F">
        <w:t>forest p</w:t>
      </w:r>
      <w:r>
        <w:t>arcels</w:t>
      </w:r>
      <w:r w:rsidRPr="0076293F">
        <w:t xml:space="preserve"> that have</w:t>
      </w:r>
      <w:r>
        <w:t xml:space="preserve"> experienced harvests in the past. Assume the current LULC</w:t>
      </w:r>
      <w:r w:rsidRPr="009F74DC">
        <w:t xml:space="preserve"> map </w:t>
      </w:r>
      <w:r>
        <w:t>we are using corresponds to the year 2005. Parcels 1, 2, and 3 are forests that are managed for timber production. Each managed forest experiences a cut every 5</w:t>
      </w:r>
      <w:r w:rsidRPr="00E45F8B">
        <w:rPr>
          <w:vertAlign w:val="superscript"/>
        </w:rPr>
        <w:t>th</w:t>
      </w:r>
      <w:r>
        <w:t xml:space="preserve"> year where </w:t>
      </w:r>
      <w:r w:rsidRPr="00A33157">
        <w:rPr>
          <w:i/>
        </w:rPr>
        <w:t>Cut_cur</w:t>
      </w:r>
      <w:r>
        <w:t xml:space="preserve"> gives the amount of carbon (Mg ha</w:t>
      </w:r>
      <w:r w:rsidRPr="00912F16">
        <w:rPr>
          <w:vertAlign w:val="superscript"/>
        </w:rPr>
        <w:t>-1</w:t>
      </w:r>
      <w:r>
        <w:t>) in the portion of the wood that is removed every fifth year. The 4</w:t>
      </w:r>
      <w:r w:rsidRPr="00E45F8B">
        <w:rPr>
          <w:vertAlign w:val="superscript"/>
        </w:rPr>
        <w:t>th</w:t>
      </w:r>
      <w:r>
        <w:t xml:space="preserve"> parcel is a source of firewood and wood is cut from the parcel continuously. Thus, for this parcel we estimate the annual rate of carbon removed from the forest for firewood. For the first three parcels, we began to account for carbon removal in 1995. For the final parcel we began accounting for HWP in 2000. (Recall that the calculation of </w:t>
      </w:r>
      <w:r w:rsidRPr="001B2234">
        <w:rPr>
          <w:i/>
        </w:rPr>
        <w:t>HWP_cur</w:t>
      </w:r>
      <w:r>
        <w:t xml:space="preserve">, </w:t>
      </w:r>
      <w:r w:rsidRPr="001B2234">
        <w:rPr>
          <w:i/>
        </w:rPr>
        <w:t>Bio_HWP_cur</w:t>
      </w:r>
      <w:r>
        <w:t xml:space="preserve">, and </w:t>
      </w:r>
      <w:r w:rsidRPr="001B2234">
        <w:rPr>
          <w:i/>
        </w:rPr>
        <w:t>Vol_HWP_cur</w:t>
      </w:r>
      <w:r>
        <w:t xml:space="preserve"> does not include the 2005 harvest; that carbon is still on the land.)</w:t>
      </w:r>
    </w:p>
    <w:p w:rsidR="00DF141A" w:rsidRPr="00AC4F2F" w:rsidRDefault="00DF141A" w:rsidP="00DF141A">
      <w:pPr>
        <w:jc w:val="both"/>
      </w:pPr>
    </w:p>
    <w:tbl>
      <w:tblPr>
        <w:tblpPr w:leftFromText="180" w:rightFromText="180" w:vertAnchor="text" w:horzAnchor="page" w:tblpX="2088"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tblPr>
      <w:tblGrid>
        <w:gridCol w:w="861"/>
        <w:gridCol w:w="942"/>
        <w:gridCol w:w="1130"/>
        <w:gridCol w:w="1030"/>
        <w:gridCol w:w="1141"/>
        <w:gridCol w:w="1503"/>
        <w:gridCol w:w="1516"/>
      </w:tblGrid>
      <w:tr w:rsidR="00DF141A" w:rsidRPr="0098784F" w:rsidTr="00D50A14">
        <w:tc>
          <w:tcPr>
            <w:tcW w:w="861" w:type="dxa"/>
            <w:shd w:val="clear" w:color="auto" w:fill="99CCFF"/>
            <w:vAlign w:val="center"/>
          </w:tcPr>
          <w:p w:rsidR="00DF141A" w:rsidRPr="0098784F" w:rsidRDefault="00DF141A" w:rsidP="00D50A14">
            <w:pPr>
              <w:jc w:val="center"/>
            </w:pPr>
            <w:r>
              <w:rPr>
                <w:b/>
                <w:bCs/>
                <w:sz w:val="20"/>
                <w:szCs w:val="20"/>
              </w:rPr>
              <w:t>F</w:t>
            </w:r>
            <w:r w:rsidRPr="0098784F">
              <w:rPr>
                <w:b/>
                <w:bCs/>
                <w:sz w:val="20"/>
                <w:szCs w:val="20"/>
              </w:rPr>
              <w:t>ID</w:t>
            </w:r>
          </w:p>
        </w:tc>
        <w:tc>
          <w:tcPr>
            <w:tcW w:w="942" w:type="dxa"/>
            <w:shd w:val="clear" w:color="auto" w:fill="99CCFF"/>
            <w:vAlign w:val="center"/>
          </w:tcPr>
          <w:p w:rsidR="00DF141A" w:rsidRPr="0098784F" w:rsidRDefault="00DF141A" w:rsidP="00D50A14">
            <w:pPr>
              <w:jc w:val="center"/>
            </w:pPr>
            <w:r w:rsidRPr="0098784F">
              <w:rPr>
                <w:b/>
                <w:bCs/>
                <w:sz w:val="20"/>
                <w:szCs w:val="20"/>
              </w:rPr>
              <w:t>Cut</w:t>
            </w:r>
            <w:r>
              <w:rPr>
                <w:b/>
                <w:bCs/>
                <w:sz w:val="20"/>
                <w:szCs w:val="20"/>
              </w:rPr>
              <w:t>_cur</w:t>
            </w:r>
          </w:p>
        </w:tc>
        <w:tc>
          <w:tcPr>
            <w:tcW w:w="1130" w:type="dxa"/>
            <w:shd w:val="clear" w:color="auto" w:fill="99CCFF"/>
            <w:vAlign w:val="center"/>
          </w:tcPr>
          <w:p w:rsidR="00DF141A" w:rsidRPr="0098784F" w:rsidRDefault="00DF141A" w:rsidP="00D50A14">
            <w:pPr>
              <w:jc w:val="center"/>
            </w:pPr>
            <w:r>
              <w:rPr>
                <w:b/>
                <w:bCs/>
                <w:sz w:val="20"/>
                <w:szCs w:val="20"/>
              </w:rPr>
              <w:t>Start</w:t>
            </w:r>
            <w:r w:rsidRPr="0098784F">
              <w:rPr>
                <w:b/>
                <w:bCs/>
                <w:sz w:val="20"/>
                <w:szCs w:val="20"/>
              </w:rPr>
              <w:t>_date</w:t>
            </w:r>
          </w:p>
        </w:tc>
        <w:tc>
          <w:tcPr>
            <w:tcW w:w="1030" w:type="dxa"/>
            <w:shd w:val="clear" w:color="auto" w:fill="99CCFF"/>
            <w:vAlign w:val="center"/>
          </w:tcPr>
          <w:p w:rsidR="00DF141A" w:rsidRPr="0098784F" w:rsidRDefault="00DF141A" w:rsidP="00D50A14">
            <w:pPr>
              <w:jc w:val="center"/>
            </w:pPr>
            <w:r w:rsidRPr="0098784F">
              <w:rPr>
                <w:b/>
                <w:bCs/>
                <w:sz w:val="20"/>
                <w:szCs w:val="20"/>
              </w:rPr>
              <w:t>Freq</w:t>
            </w:r>
            <w:r>
              <w:rPr>
                <w:b/>
                <w:bCs/>
                <w:sz w:val="20"/>
                <w:szCs w:val="20"/>
              </w:rPr>
              <w:t>_cur</w:t>
            </w:r>
          </w:p>
        </w:tc>
        <w:tc>
          <w:tcPr>
            <w:tcW w:w="1141" w:type="dxa"/>
            <w:shd w:val="clear" w:color="auto" w:fill="99CCFF"/>
            <w:vAlign w:val="center"/>
          </w:tcPr>
          <w:p w:rsidR="00DF141A" w:rsidRPr="0098784F" w:rsidRDefault="00DF141A" w:rsidP="00D50A14">
            <w:pPr>
              <w:jc w:val="center"/>
            </w:pPr>
            <w:r w:rsidRPr="0098784F">
              <w:rPr>
                <w:b/>
                <w:bCs/>
                <w:sz w:val="20"/>
                <w:szCs w:val="20"/>
              </w:rPr>
              <w:t>Decay</w:t>
            </w:r>
            <w:r>
              <w:rPr>
                <w:b/>
                <w:bCs/>
                <w:sz w:val="20"/>
                <w:szCs w:val="20"/>
              </w:rPr>
              <w:t>_cur</w:t>
            </w:r>
          </w:p>
        </w:tc>
        <w:tc>
          <w:tcPr>
            <w:tcW w:w="1503" w:type="dxa"/>
            <w:shd w:val="clear" w:color="auto" w:fill="99CCFF"/>
          </w:tcPr>
          <w:p w:rsidR="00DF141A" w:rsidRPr="0098784F" w:rsidRDefault="00DF141A" w:rsidP="00D50A14">
            <w:pPr>
              <w:jc w:val="center"/>
              <w:rPr>
                <w:b/>
                <w:bCs/>
                <w:sz w:val="20"/>
                <w:szCs w:val="20"/>
              </w:rPr>
            </w:pPr>
            <w:r>
              <w:rPr>
                <w:b/>
                <w:bCs/>
                <w:sz w:val="20"/>
                <w:szCs w:val="20"/>
              </w:rPr>
              <w:t>C_den_cur</w:t>
            </w:r>
          </w:p>
        </w:tc>
        <w:tc>
          <w:tcPr>
            <w:tcW w:w="1516" w:type="dxa"/>
            <w:shd w:val="clear" w:color="auto" w:fill="99CCFF"/>
          </w:tcPr>
          <w:p w:rsidR="00DF141A" w:rsidRPr="0098784F" w:rsidRDefault="00DF141A" w:rsidP="00D50A14">
            <w:pPr>
              <w:jc w:val="center"/>
              <w:rPr>
                <w:b/>
                <w:bCs/>
                <w:sz w:val="20"/>
                <w:szCs w:val="20"/>
              </w:rPr>
            </w:pPr>
            <w:r>
              <w:rPr>
                <w:b/>
                <w:bCs/>
                <w:sz w:val="20"/>
                <w:szCs w:val="20"/>
              </w:rPr>
              <w:t>BCEF_cur</w:t>
            </w:r>
          </w:p>
        </w:tc>
      </w:tr>
      <w:tr w:rsidR="00DF141A" w:rsidRPr="0098784F" w:rsidTr="00D50A14">
        <w:tc>
          <w:tcPr>
            <w:tcW w:w="861" w:type="dxa"/>
            <w:tcBorders>
              <w:bottom w:val="single" w:sz="4" w:space="0" w:color="auto"/>
            </w:tcBorders>
          </w:tcPr>
          <w:p w:rsidR="00DF141A" w:rsidRPr="0098784F" w:rsidRDefault="00DF141A" w:rsidP="00D50A14">
            <w:pPr>
              <w:jc w:val="center"/>
            </w:pPr>
            <w:r w:rsidRPr="0098784F">
              <w:t>1</w:t>
            </w:r>
          </w:p>
        </w:tc>
        <w:tc>
          <w:tcPr>
            <w:tcW w:w="942" w:type="dxa"/>
            <w:tcBorders>
              <w:bottom w:val="single" w:sz="4" w:space="0" w:color="auto"/>
            </w:tcBorders>
          </w:tcPr>
          <w:p w:rsidR="00DF141A" w:rsidRPr="0098784F" w:rsidRDefault="00DF141A" w:rsidP="00D50A14">
            <w:pPr>
              <w:jc w:val="center"/>
            </w:pPr>
            <w:r w:rsidRPr="0098784F">
              <w:t>75</w:t>
            </w:r>
          </w:p>
        </w:tc>
        <w:tc>
          <w:tcPr>
            <w:tcW w:w="1130" w:type="dxa"/>
            <w:tcBorders>
              <w:bottom w:val="single" w:sz="4" w:space="0" w:color="auto"/>
            </w:tcBorders>
          </w:tcPr>
          <w:p w:rsidR="00DF141A" w:rsidRPr="0098784F" w:rsidRDefault="00DF141A" w:rsidP="00D50A14">
            <w:pPr>
              <w:jc w:val="center"/>
            </w:pPr>
            <w:r>
              <w:t>1995</w:t>
            </w:r>
          </w:p>
        </w:tc>
        <w:tc>
          <w:tcPr>
            <w:tcW w:w="1030" w:type="dxa"/>
            <w:tcBorders>
              <w:bottom w:val="single" w:sz="4" w:space="0" w:color="auto"/>
            </w:tcBorders>
          </w:tcPr>
          <w:p w:rsidR="00DF141A" w:rsidRPr="0098784F" w:rsidRDefault="00DF141A" w:rsidP="00D50A14">
            <w:pPr>
              <w:jc w:val="center"/>
            </w:pPr>
            <w:r w:rsidRPr="0098784F">
              <w:t>5</w:t>
            </w:r>
          </w:p>
        </w:tc>
        <w:tc>
          <w:tcPr>
            <w:tcW w:w="1141" w:type="dxa"/>
            <w:tcBorders>
              <w:bottom w:val="single" w:sz="4" w:space="0" w:color="auto"/>
            </w:tcBorders>
          </w:tcPr>
          <w:p w:rsidR="00DF141A" w:rsidRPr="0098784F" w:rsidRDefault="00DF141A" w:rsidP="00D50A14">
            <w:pPr>
              <w:jc w:val="center"/>
            </w:pPr>
            <w:r w:rsidRPr="0098784F">
              <w:t>30</w:t>
            </w:r>
          </w:p>
        </w:tc>
        <w:tc>
          <w:tcPr>
            <w:tcW w:w="1503" w:type="dxa"/>
            <w:tcBorders>
              <w:bottom w:val="single" w:sz="4" w:space="0" w:color="auto"/>
            </w:tcBorders>
          </w:tcPr>
          <w:p w:rsidR="00DF141A" w:rsidRPr="0098784F" w:rsidRDefault="00DF141A" w:rsidP="00D50A14">
            <w:pPr>
              <w:jc w:val="center"/>
            </w:pPr>
            <w:r>
              <w:t>0.5</w:t>
            </w:r>
          </w:p>
        </w:tc>
        <w:tc>
          <w:tcPr>
            <w:tcW w:w="1516" w:type="dxa"/>
            <w:tcBorders>
              <w:bottom w:val="single" w:sz="4" w:space="0" w:color="auto"/>
            </w:tcBorders>
          </w:tcPr>
          <w:p w:rsidR="00DF141A" w:rsidRPr="0098784F" w:rsidRDefault="00DF141A" w:rsidP="00D50A14">
            <w:pPr>
              <w:jc w:val="center"/>
            </w:pPr>
            <w:r>
              <w:t>1</w:t>
            </w:r>
          </w:p>
        </w:tc>
      </w:tr>
      <w:tr w:rsidR="00DF141A" w:rsidRPr="0098784F" w:rsidTr="00D50A14">
        <w:tc>
          <w:tcPr>
            <w:tcW w:w="861" w:type="dxa"/>
            <w:shd w:val="clear" w:color="auto" w:fill="DDDDDD"/>
          </w:tcPr>
          <w:p w:rsidR="00DF141A" w:rsidRPr="0098784F" w:rsidRDefault="00DF141A" w:rsidP="00D50A14">
            <w:pPr>
              <w:jc w:val="center"/>
            </w:pPr>
            <w:r w:rsidRPr="0098784F">
              <w:t>2</w:t>
            </w:r>
          </w:p>
        </w:tc>
        <w:tc>
          <w:tcPr>
            <w:tcW w:w="942" w:type="dxa"/>
            <w:shd w:val="clear" w:color="auto" w:fill="DDDDDD"/>
          </w:tcPr>
          <w:p w:rsidR="00DF141A" w:rsidRPr="0098784F" w:rsidRDefault="00DF141A" w:rsidP="00D50A14">
            <w:pPr>
              <w:jc w:val="center"/>
            </w:pPr>
            <w:r w:rsidRPr="0098784F">
              <w:t>50</w:t>
            </w:r>
          </w:p>
        </w:tc>
        <w:tc>
          <w:tcPr>
            <w:tcW w:w="1130" w:type="dxa"/>
            <w:shd w:val="clear" w:color="auto" w:fill="DDDDDD"/>
          </w:tcPr>
          <w:p w:rsidR="00DF141A" w:rsidRPr="0098784F" w:rsidRDefault="00DF141A" w:rsidP="00D50A14">
            <w:pPr>
              <w:jc w:val="center"/>
            </w:pPr>
            <w:r>
              <w:t>1995</w:t>
            </w:r>
          </w:p>
        </w:tc>
        <w:tc>
          <w:tcPr>
            <w:tcW w:w="1030" w:type="dxa"/>
            <w:shd w:val="clear" w:color="auto" w:fill="DDDDDD"/>
          </w:tcPr>
          <w:p w:rsidR="00DF141A" w:rsidRPr="0098784F" w:rsidRDefault="00DF141A" w:rsidP="00D50A14">
            <w:pPr>
              <w:jc w:val="center"/>
            </w:pPr>
            <w:r w:rsidRPr="0098784F">
              <w:t>5</w:t>
            </w:r>
          </w:p>
        </w:tc>
        <w:tc>
          <w:tcPr>
            <w:tcW w:w="1141" w:type="dxa"/>
            <w:shd w:val="clear" w:color="auto" w:fill="DDDDDD"/>
          </w:tcPr>
          <w:p w:rsidR="00DF141A" w:rsidRPr="0098784F" w:rsidRDefault="00DF141A" w:rsidP="00D50A14">
            <w:pPr>
              <w:jc w:val="center"/>
            </w:pPr>
            <w:r w:rsidRPr="0098784F">
              <w:t>35</w:t>
            </w:r>
          </w:p>
        </w:tc>
        <w:tc>
          <w:tcPr>
            <w:tcW w:w="1503" w:type="dxa"/>
            <w:shd w:val="clear" w:color="auto" w:fill="DDDDDD"/>
          </w:tcPr>
          <w:p w:rsidR="00DF141A" w:rsidRPr="0098784F" w:rsidRDefault="00DF141A" w:rsidP="00D50A14">
            <w:pPr>
              <w:jc w:val="center"/>
            </w:pPr>
            <w:r>
              <w:t>0.5</w:t>
            </w:r>
          </w:p>
        </w:tc>
        <w:tc>
          <w:tcPr>
            <w:tcW w:w="1516" w:type="dxa"/>
            <w:shd w:val="clear" w:color="auto" w:fill="DDDDDD"/>
          </w:tcPr>
          <w:p w:rsidR="00DF141A" w:rsidRPr="0098784F" w:rsidRDefault="00DF141A" w:rsidP="00D50A14">
            <w:pPr>
              <w:jc w:val="center"/>
            </w:pPr>
            <w:r>
              <w:t>1</w:t>
            </w:r>
          </w:p>
        </w:tc>
      </w:tr>
      <w:tr w:rsidR="00DF141A" w:rsidRPr="0098784F" w:rsidTr="00D50A14">
        <w:tc>
          <w:tcPr>
            <w:tcW w:w="861" w:type="dxa"/>
            <w:tcBorders>
              <w:bottom w:val="single" w:sz="4" w:space="0" w:color="auto"/>
            </w:tcBorders>
          </w:tcPr>
          <w:p w:rsidR="00DF141A" w:rsidRPr="0098784F" w:rsidRDefault="00DF141A" w:rsidP="00D50A14">
            <w:pPr>
              <w:jc w:val="center"/>
            </w:pPr>
            <w:r w:rsidRPr="0098784F">
              <w:t>3</w:t>
            </w:r>
          </w:p>
        </w:tc>
        <w:tc>
          <w:tcPr>
            <w:tcW w:w="942" w:type="dxa"/>
            <w:tcBorders>
              <w:bottom w:val="single" w:sz="4" w:space="0" w:color="auto"/>
            </w:tcBorders>
          </w:tcPr>
          <w:p w:rsidR="00DF141A" w:rsidRPr="0098784F" w:rsidRDefault="00DF141A" w:rsidP="00D50A14">
            <w:pPr>
              <w:jc w:val="center"/>
            </w:pPr>
            <w:r w:rsidRPr="0098784F">
              <w:t>50</w:t>
            </w:r>
          </w:p>
        </w:tc>
        <w:tc>
          <w:tcPr>
            <w:tcW w:w="1130" w:type="dxa"/>
            <w:tcBorders>
              <w:bottom w:val="single" w:sz="4" w:space="0" w:color="auto"/>
            </w:tcBorders>
          </w:tcPr>
          <w:p w:rsidR="00DF141A" w:rsidRPr="0098784F" w:rsidRDefault="00DF141A" w:rsidP="00D50A14">
            <w:pPr>
              <w:jc w:val="center"/>
            </w:pPr>
            <w:r>
              <w:t>1995</w:t>
            </w:r>
          </w:p>
        </w:tc>
        <w:tc>
          <w:tcPr>
            <w:tcW w:w="1030" w:type="dxa"/>
            <w:tcBorders>
              <w:bottom w:val="single" w:sz="4" w:space="0" w:color="auto"/>
            </w:tcBorders>
          </w:tcPr>
          <w:p w:rsidR="00DF141A" w:rsidRPr="0098784F" w:rsidRDefault="00DF141A" w:rsidP="00D50A14">
            <w:pPr>
              <w:jc w:val="center"/>
            </w:pPr>
            <w:r w:rsidRPr="0098784F">
              <w:t>5</w:t>
            </w:r>
          </w:p>
        </w:tc>
        <w:tc>
          <w:tcPr>
            <w:tcW w:w="1141" w:type="dxa"/>
            <w:tcBorders>
              <w:bottom w:val="single" w:sz="4" w:space="0" w:color="auto"/>
            </w:tcBorders>
          </w:tcPr>
          <w:p w:rsidR="00DF141A" w:rsidRPr="0098784F" w:rsidRDefault="00DF141A" w:rsidP="00D50A14">
            <w:pPr>
              <w:jc w:val="center"/>
            </w:pPr>
            <w:r w:rsidRPr="0098784F">
              <w:t>50</w:t>
            </w:r>
          </w:p>
        </w:tc>
        <w:tc>
          <w:tcPr>
            <w:tcW w:w="1503" w:type="dxa"/>
            <w:tcBorders>
              <w:bottom w:val="single" w:sz="4" w:space="0" w:color="auto"/>
            </w:tcBorders>
          </w:tcPr>
          <w:p w:rsidR="00DF141A" w:rsidRPr="0098784F" w:rsidRDefault="00DF141A" w:rsidP="00D50A14">
            <w:pPr>
              <w:jc w:val="center"/>
            </w:pPr>
            <w:r>
              <w:t>0.5</w:t>
            </w:r>
          </w:p>
        </w:tc>
        <w:tc>
          <w:tcPr>
            <w:tcW w:w="1516" w:type="dxa"/>
            <w:tcBorders>
              <w:bottom w:val="single" w:sz="4" w:space="0" w:color="auto"/>
            </w:tcBorders>
          </w:tcPr>
          <w:p w:rsidR="00DF141A" w:rsidRPr="0098784F" w:rsidRDefault="00DF141A" w:rsidP="00D50A14">
            <w:pPr>
              <w:jc w:val="center"/>
            </w:pPr>
            <w:r>
              <w:t>1</w:t>
            </w:r>
          </w:p>
        </w:tc>
      </w:tr>
      <w:tr w:rsidR="00DF141A" w:rsidRPr="0098784F" w:rsidTr="00D50A14">
        <w:tc>
          <w:tcPr>
            <w:tcW w:w="861" w:type="dxa"/>
            <w:shd w:val="clear" w:color="auto" w:fill="DDDDDD"/>
          </w:tcPr>
          <w:p w:rsidR="00DF141A" w:rsidRPr="0098784F" w:rsidRDefault="00DF141A" w:rsidP="00D50A14">
            <w:pPr>
              <w:jc w:val="center"/>
            </w:pPr>
            <w:r w:rsidRPr="0098784F">
              <w:t>4</w:t>
            </w:r>
          </w:p>
        </w:tc>
        <w:tc>
          <w:tcPr>
            <w:tcW w:w="942" w:type="dxa"/>
            <w:shd w:val="clear" w:color="auto" w:fill="DDDDDD"/>
          </w:tcPr>
          <w:p w:rsidR="00DF141A" w:rsidRPr="0098784F" w:rsidRDefault="00DF141A" w:rsidP="00D50A14">
            <w:pPr>
              <w:jc w:val="center"/>
            </w:pPr>
            <w:r w:rsidRPr="0098784F">
              <w:t>45</w:t>
            </w:r>
          </w:p>
        </w:tc>
        <w:tc>
          <w:tcPr>
            <w:tcW w:w="1130" w:type="dxa"/>
            <w:shd w:val="clear" w:color="auto" w:fill="DDDDDD"/>
          </w:tcPr>
          <w:p w:rsidR="00DF141A" w:rsidRPr="0098784F" w:rsidRDefault="00DF141A" w:rsidP="00D50A14">
            <w:pPr>
              <w:jc w:val="center"/>
            </w:pPr>
            <w:r w:rsidRPr="0098784F">
              <w:t>2000</w:t>
            </w:r>
          </w:p>
        </w:tc>
        <w:tc>
          <w:tcPr>
            <w:tcW w:w="1030" w:type="dxa"/>
            <w:shd w:val="clear" w:color="auto" w:fill="DDDDDD"/>
          </w:tcPr>
          <w:p w:rsidR="00DF141A" w:rsidRPr="0098784F" w:rsidRDefault="00DF141A" w:rsidP="00D50A14">
            <w:pPr>
              <w:jc w:val="center"/>
            </w:pPr>
            <w:r w:rsidRPr="0098784F">
              <w:t>1</w:t>
            </w:r>
          </w:p>
        </w:tc>
        <w:tc>
          <w:tcPr>
            <w:tcW w:w="1141" w:type="dxa"/>
            <w:shd w:val="clear" w:color="auto" w:fill="DDDDDD"/>
          </w:tcPr>
          <w:p w:rsidR="00DF141A" w:rsidRPr="0098784F" w:rsidRDefault="00DF141A" w:rsidP="00D50A14">
            <w:pPr>
              <w:jc w:val="center"/>
            </w:pPr>
            <w:r w:rsidRPr="0098784F">
              <w:t>1</w:t>
            </w:r>
          </w:p>
        </w:tc>
        <w:tc>
          <w:tcPr>
            <w:tcW w:w="1503" w:type="dxa"/>
            <w:shd w:val="clear" w:color="auto" w:fill="DDDDDD"/>
          </w:tcPr>
          <w:p w:rsidR="00DF141A" w:rsidRPr="0098784F" w:rsidRDefault="00DF141A" w:rsidP="00D50A14">
            <w:pPr>
              <w:jc w:val="center"/>
            </w:pPr>
            <w:r>
              <w:t>0.5</w:t>
            </w:r>
          </w:p>
        </w:tc>
        <w:tc>
          <w:tcPr>
            <w:tcW w:w="1516" w:type="dxa"/>
            <w:shd w:val="clear" w:color="auto" w:fill="DDDDDD"/>
          </w:tcPr>
          <w:p w:rsidR="00DF141A" w:rsidRPr="0098784F" w:rsidRDefault="00DF141A" w:rsidP="00D50A14">
            <w:pPr>
              <w:jc w:val="center"/>
            </w:pPr>
            <w:r>
              <w:t>1</w:t>
            </w:r>
          </w:p>
        </w:tc>
      </w:tr>
    </w:tbl>
    <w:p w:rsidR="00DF141A" w:rsidRDefault="00DF141A" w:rsidP="00DF141A">
      <w:pPr>
        <w:suppressAutoHyphens/>
        <w:ind w:left="540"/>
        <w:jc w:val="both"/>
      </w:pPr>
    </w:p>
    <w:p w:rsidR="00DF141A" w:rsidRDefault="00DF141A" w:rsidP="00DF141A">
      <w:pPr>
        <w:suppressAutoHyphens/>
        <w:ind w:left="540"/>
        <w:jc w:val="both"/>
      </w:pPr>
    </w:p>
    <w:p w:rsidR="00DF141A" w:rsidRDefault="00DF141A" w:rsidP="00DF141A">
      <w:pPr>
        <w:suppressAutoHyphens/>
        <w:ind w:left="540"/>
        <w:jc w:val="both"/>
      </w:pPr>
    </w:p>
    <w:p w:rsidR="00DF141A" w:rsidRDefault="00DF141A" w:rsidP="00DF141A">
      <w:pPr>
        <w:suppressAutoHyphens/>
        <w:ind w:left="540"/>
        <w:jc w:val="both"/>
      </w:pPr>
    </w:p>
    <w:p w:rsidR="00DF141A" w:rsidRDefault="00DF141A" w:rsidP="00DF141A">
      <w:pPr>
        <w:suppressAutoHyphens/>
        <w:ind w:left="540"/>
        <w:jc w:val="both"/>
      </w:pPr>
    </w:p>
    <w:p w:rsidR="00DF141A" w:rsidRDefault="00DF141A" w:rsidP="00DF141A">
      <w:pPr>
        <w:suppressAutoHyphens/>
        <w:ind w:left="540"/>
        <w:jc w:val="both"/>
      </w:pPr>
    </w:p>
    <w:p w:rsidR="00DF141A" w:rsidRDefault="00DF141A" w:rsidP="00DF141A">
      <w:pPr>
        <w:suppressAutoHyphens/>
        <w:ind w:left="540"/>
        <w:jc w:val="both"/>
      </w:pPr>
    </w:p>
    <w:p w:rsidR="00DF141A" w:rsidRDefault="00DF141A" w:rsidP="00DF141A">
      <w:pPr>
        <w:suppressAutoHyphens/>
        <w:ind w:left="540"/>
        <w:jc w:val="both"/>
      </w:pPr>
    </w:p>
    <w:p w:rsidR="00DF141A" w:rsidRDefault="00DF141A" w:rsidP="00DF141A">
      <w:pPr>
        <w:suppressAutoHyphens/>
        <w:ind w:left="540"/>
        <w:jc w:val="both"/>
      </w:pPr>
      <w:r>
        <w:t xml:space="preserve">We measure the carbon stored in HWP that originated from parcel </w:t>
      </w:r>
      <w:r w:rsidRPr="003E22B2">
        <w:rPr>
          <w:i/>
        </w:rPr>
        <w:t>x</w:t>
      </w:r>
      <w:r>
        <w:t xml:space="preserve"> on the current landscape with the following equation:</w:t>
      </w:r>
    </w:p>
    <w:p w:rsidR="00DF141A" w:rsidRDefault="00DF141A" w:rsidP="00DF141A">
      <w:pPr>
        <w:ind w:left="540"/>
        <w:jc w:val="both"/>
      </w:pPr>
      <w:r>
        <w:rPr>
          <w:noProof/>
          <w:position w:val="-42"/>
        </w:rPr>
        <w:drawing>
          <wp:inline distT="0" distB="0" distL="0" distR="0">
            <wp:extent cx="4917440" cy="518160"/>
            <wp:effectExtent l="25400" t="0" r="1016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8"/>
                    <a:srcRect/>
                    <a:stretch>
                      <a:fillRect/>
                    </a:stretch>
                  </pic:blipFill>
                  <pic:spPr bwMode="auto">
                    <a:xfrm>
                      <a:off x="0" y="0"/>
                      <a:ext cx="4917440" cy="518160"/>
                    </a:xfrm>
                    <a:prstGeom prst="rect">
                      <a:avLst/>
                    </a:prstGeom>
                    <a:solidFill>
                      <a:srgbClr val="FFFFFF"/>
                    </a:solidFill>
                    <a:ln w="9525">
                      <a:noFill/>
                      <a:miter lim="800000"/>
                      <a:headEnd/>
                      <a:tailEnd/>
                    </a:ln>
                  </pic:spPr>
                </pic:pic>
              </a:graphicData>
            </a:graphic>
          </wp:inline>
        </w:drawing>
      </w:r>
      <w:r>
        <w:t xml:space="preserve">  (C1)</w:t>
      </w:r>
    </w:p>
    <w:p w:rsidR="00DF141A" w:rsidRPr="00301627" w:rsidRDefault="00DF141A" w:rsidP="00DF141A">
      <w:pPr>
        <w:autoSpaceDE w:val="0"/>
        <w:autoSpaceDN w:val="0"/>
        <w:adjustRightInd w:val="0"/>
        <w:ind w:left="540" w:hanging="28"/>
        <w:jc w:val="both"/>
      </w:pPr>
      <w:r>
        <w:t xml:space="preserve">where </w:t>
      </w:r>
      <w:r w:rsidRPr="00E1511D">
        <w:rPr>
          <w:i/>
        </w:rPr>
        <w:t>HWP_cur</w:t>
      </w:r>
      <w:r w:rsidRPr="00E1511D">
        <w:rPr>
          <w:i/>
          <w:vertAlign w:val="subscript"/>
        </w:rPr>
        <w:t>x</w:t>
      </w:r>
      <w:r>
        <w:t xml:space="preserve"> is measured in Mg ha</w:t>
      </w:r>
      <w:r w:rsidRPr="003E22B2">
        <w:rPr>
          <w:vertAlign w:val="superscript"/>
        </w:rPr>
        <w:t>-1</w:t>
      </w:r>
      <w:r>
        <w:t xml:space="preserve">, </w:t>
      </w:r>
      <w:r>
        <w:rPr>
          <w:i/>
        </w:rPr>
        <w:t>yr_cur</w:t>
      </w:r>
      <w:r>
        <w:t xml:space="preserve"> is short for “</w:t>
      </w:r>
      <w:r w:rsidRPr="00301627">
        <w:t xml:space="preserve">Year of current land cover”, </w:t>
      </w:r>
      <w:r w:rsidRPr="00301627">
        <w:rPr>
          <w:i/>
        </w:rPr>
        <w:t>t</w:t>
      </w:r>
      <w:r w:rsidRPr="00301627">
        <w:t xml:space="preserve"> indexes the number of harvest periods, and “ru” indicates that any fraction should be rounded up to the next integer value.  The function</w:t>
      </w:r>
    </w:p>
    <w:p w:rsidR="00DF141A" w:rsidRPr="00301627" w:rsidRDefault="00DF141A" w:rsidP="00DF141A">
      <w:pPr>
        <w:autoSpaceDE w:val="0"/>
        <w:autoSpaceDN w:val="0"/>
        <w:adjustRightInd w:val="0"/>
        <w:ind w:left="540"/>
        <w:jc w:val="center"/>
      </w:pPr>
      <w:r>
        <w:rPr>
          <w:noProof/>
          <w:position w:val="-10"/>
        </w:rPr>
        <w:drawing>
          <wp:inline distT="0" distB="0" distL="0" distR="0">
            <wp:extent cx="304800" cy="213360"/>
            <wp:effectExtent l="2540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
                    <a:srcRect/>
                    <a:stretch>
                      <a:fillRect/>
                    </a:stretch>
                  </pic:blipFill>
                  <pic:spPr bwMode="auto">
                    <a:xfrm>
                      <a:off x="0" y="0"/>
                      <a:ext cx="304800" cy="213360"/>
                    </a:xfrm>
                    <a:prstGeom prst="rect">
                      <a:avLst/>
                    </a:prstGeom>
                    <a:noFill/>
                    <a:ln w="9525">
                      <a:noFill/>
                      <a:miter lim="800000"/>
                      <a:headEnd/>
                      <a:tailEnd/>
                    </a:ln>
                  </pic:spPr>
                </pic:pic>
              </a:graphicData>
            </a:graphic>
          </wp:inline>
        </w:drawing>
      </w:r>
      <w:r w:rsidRPr="00301627">
        <w:t xml:space="preserve">= </w:t>
      </w:r>
      <w:r>
        <w:rPr>
          <w:noProof/>
          <w:position w:val="-32"/>
        </w:rPr>
        <w:drawing>
          <wp:inline distT="0" distB="0" distL="0" distR="0">
            <wp:extent cx="2133600" cy="457200"/>
            <wp:effectExtent l="2540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0"/>
                    <a:srcRect/>
                    <a:stretch>
                      <a:fillRect/>
                    </a:stretch>
                  </pic:blipFill>
                  <pic:spPr bwMode="auto">
                    <a:xfrm>
                      <a:off x="0" y="0"/>
                      <a:ext cx="2133600" cy="457200"/>
                    </a:xfrm>
                    <a:prstGeom prst="rect">
                      <a:avLst/>
                    </a:prstGeom>
                    <a:noFill/>
                    <a:ln w="9525">
                      <a:noFill/>
                      <a:miter lim="800000"/>
                      <a:headEnd/>
                      <a:tailEnd/>
                    </a:ln>
                  </pic:spPr>
                </pic:pic>
              </a:graphicData>
            </a:graphic>
          </wp:inline>
        </w:drawing>
      </w:r>
      <w:r w:rsidRPr="00301627">
        <w:t xml:space="preserve">, </w:t>
      </w:r>
      <w:r w:rsidRPr="00301627">
        <w:tab/>
        <w:t>(C2)</w:t>
      </w:r>
    </w:p>
    <w:p w:rsidR="00DF141A" w:rsidRPr="00301627" w:rsidRDefault="00DF141A" w:rsidP="00DF141A">
      <w:pPr>
        <w:ind w:left="540"/>
        <w:jc w:val="both"/>
      </w:pPr>
      <w:r w:rsidRPr="00301627">
        <w:t xml:space="preserve">where </w:t>
      </w:r>
      <w:r>
        <w:rPr>
          <w:noProof/>
          <w:position w:val="-12"/>
        </w:rPr>
        <w:drawing>
          <wp:inline distT="0" distB="0" distL="0" distR="0">
            <wp:extent cx="1727200" cy="213360"/>
            <wp:effectExtent l="2540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
                    <a:srcRect/>
                    <a:stretch>
                      <a:fillRect/>
                    </a:stretch>
                  </pic:blipFill>
                  <pic:spPr bwMode="auto">
                    <a:xfrm>
                      <a:off x="0" y="0"/>
                      <a:ext cx="1727200" cy="213360"/>
                    </a:xfrm>
                    <a:prstGeom prst="rect">
                      <a:avLst/>
                    </a:prstGeom>
                    <a:noFill/>
                    <a:ln w="9525">
                      <a:noFill/>
                      <a:miter lim="800000"/>
                      <a:headEnd/>
                      <a:tailEnd/>
                    </a:ln>
                  </pic:spPr>
                </pic:pic>
              </a:graphicData>
            </a:graphic>
          </wp:inline>
        </w:drawing>
      </w:r>
      <w:r w:rsidRPr="00301627">
        <w:t>, measures how much of the carbon was typically removed from a parcel (</w:t>
      </w:r>
      <w:r w:rsidRPr="00301627">
        <w:rPr>
          <w:i/>
        </w:rPr>
        <w:t>Cut_cur</w:t>
      </w:r>
      <w:r w:rsidRPr="00301627">
        <w:rPr>
          <w:i/>
          <w:vertAlign w:val="subscript"/>
        </w:rPr>
        <w:t>x</w:t>
      </w:r>
      <w:r w:rsidRPr="00301627">
        <w:t>) during a harvest period, that occurred some number of years ago (</w:t>
      </w:r>
      <w:r>
        <w:rPr>
          <w:noProof/>
          <w:position w:val="-12"/>
        </w:rPr>
        <w:drawing>
          <wp:inline distT="0" distB="0" distL="0" distR="0">
            <wp:extent cx="2499360" cy="21336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
                    <a:srcRect/>
                    <a:stretch>
                      <a:fillRect/>
                    </a:stretch>
                  </pic:blipFill>
                  <pic:spPr bwMode="auto">
                    <a:xfrm>
                      <a:off x="0" y="0"/>
                      <a:ext cx="2499360" cy="213360"/>
                    </a:xfrm>
                    <a:prstGeom prst="rect">
                      <a:avLst/>
                    </a:prstGeom>
                    <a:noFill/>
                    <a:ln w="9525">
                      <a:noFill/>
                      <a:miter lim="800000"/>
                      <a:headEnd/>
                      <a:tailEnd/>
                    </a:ln>
                  </pic:spPr>
                </pic:pic>
              </a:graphicData>
            </a:graphic>
          </wp:inline>
        </w:drawing>
      </w:r>
      <w:r w:rsidRPr="00301627">
        <w:t>), still remains trapped in HWP as of the current year (</w:t>
      </w:r>
      <w:r w:rsidRPr="00301627">
        <w:rPr>
          <w:i/>
        </w:rPr>
        <w:t>yr_cur</w:t>
      </w:r>
      <w:r w:rsidRPr="00301627">
        <w:t>) and given the current decay rate (</w:t>
      </w:r>
      <w:r w:rsidRPr="00301627">
        <w:rPr>
          <w:i/>
        </w:rPr>
        <w:t>Decay_cur</w:t>
      </w:r>
      <w:r w:rsidRPr="00301627">
        <w:rPr>
          <w:i/>
          <w:vertAlign w:val="subscript"/>
        </w:rPr>
        <w:t>x</w:t>
      </w:r>
      <w:r w:rsidRPr="00301627">
        <w:t xml:space="preserve">). </w:t>
      </w:r>
    </w:p>
    <w:p w:rsidR="00DF141A" w:rsidRDefault="00DF141A" w:rsidP="00DF141A">
      <w:pPr>
        <w:ind w:left="540"/>
        <w:jc w:val="both"/>
      </w:pPr>
    </w:p>
    <w:p w:rsidR="00DF141A" w:rsidRPr="00301627" w:rsidRDefault="00DF141A" w:rsidP="00DF141A">
      <w:pPr>
        <w:ind w:left="540"/>
        <w:jc w:val="both"/>
        <w:rPr>
          <w:bCs/>
        </w:rPr>
      </w:pPr>
      <w:r>
        <w:t xml:space="preserve">The following are several examples to show how equation (C1) works. In the first instance, assume </w:t>
      </w:r>
      <w:r>
        <w:rPr>
          <w:i/>
        </w:rPr>
        <w:t>start</w:t>
      </w:r>
      <w:r w:rsidRPr="006F3DBC">
        <w:rPr>
          <w:i/>
        </w:rPr>
        <w:t>_date</w:t>
      </w:r>
      <w:r w:rsidRPr="006F3DBC">
        <w:rPr>
          <w:i/>
          <w:vertAlign w:val="subscript"/>
        </w:rPr>
        <w:t>x</w:t>
      </w:r>
      <w:r>
        <w:t xml:space="preserve"> = </w:t>
      </w:r>
      <w:r w:rsidRPr="00301627">
        <w:rPr>
          <w:bCs/>
        </w:rPr>
        <w:t xml:space="preserve">1983, </w:t>
      </w:r>
      <w:r w:rsidRPr="00301627">
        <w:rPr>
          <w:bCs/>
          <w:i/>
        </w:rPr>
        <w:t>yr_cur</w:t>
      </w:r>
      <w:r w:rsidRPr="00301627">
        <w:rPr>
          <w:bCs/>
        </w:rPr>
        <w:t xml:space="preserve"> = 2000, and </w:t>
      </w:r>
      <w:r w:rsidRPr="00301627">
        <w:rPr>
          <w:bCs/>
          <w:i/>
        </w:rPr>
        <w:t>Freq_cur</w:t>
      </w:r>
      <w:r w:rsidRPr="00301627">
        <w:rPr>
          <w:bCs/>
          <w:i/>
          <w:vertAlign w:val="subscript"/>
        </w:rPr>
        <w:t>x</w:t>
      </w:r>
      <w:r w:rsidRPr="00301627">
        <w:rPr>
          <w:bCs/>
        </w:rPr>
        <w:t xml:space="preserve"> = 4. In this case, ru</w:t>
      </w:r>
      <w:r>
        <w:rPr>
          <w:bCs/>
          <w:noProof/>
          <w:position w:val="-32"/>
        </w:rPr>
        <w:drawing>
          <wp:inline distT="0" distB="0" distL="0" distR="0">
            <wp:extent cx="1584960" cy="49784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3"/>
                    <a:srcRect/>
                    <a:stretch>
                      <a:fillRect/>
                    </a:stretch>
                  </pic:blipFill>
                  <pic:spPr bwMode="auto">
                    <a:xfrm>
                      <a:off x="0" y="0"/>
                      <a:ext cx="1584960" cy="497840"/>
                    </a:xfrm>
                    <a:prstGeom prst="rect">
                      <a:avLst/>
                    </a:prstGeom>
                    <a:noFill/>
                    <a:ln w="9525">
                      <a:noFill/>
                      <a:miter lim="800000"/>
                      <a:headEnd/>
                      <a:tailEnd/>
                    </a:ln>
                  </pic:spPr>
                </pic:pic>
              </a:graphicData>
            </a:graphic>
          </wp:inline>
        </w:drawing>
      </w:r>
      <w:r w:rsidRPr="00301627">
        <w:rPr>
          <w:bCs/>
        </w:rPr>
        <w:t xml:space="preserve"> = ru</w:t>
      </w:r>
      <w:r>
        <w:rPr>
          <w:bCs/>
          <w:noProof/>
          <w:position w:val="-28"/>
        </w:rPr>
        <w:drawing>
          <wp:inline distT="0" distB="0" distL="0" distR="0">
            <wp:extent cx="355600" cy="4165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4"/>
                    <a:srcRect/>
                    <a:stretch>
                      <a:fillRect/>
                    </a:stretch>
                  </pic:blipFill>
                  <pic:spPr bwMode="auto">
                    <a:xfrm>
                      <a:off x="0" y="0"/>
                      <a:ext cx="355600" cy="416560"/>
                    </a:xfrm>
                    <a:prstGeom prst="rect">
                      <a:avLst/>
                    </a:prstGeom>
                    <a:noFill/>
                    <a:ln w="9525">
                      <a:noFill/>
                      <a:miter lim="800000"/>
                      <a:headEnd/>
                      <a:tailEnd/>
                    </a:ln>
                  </pic:spPr>
                </pic:pic>
              </a:graphicData>
            </a:graphic>
          </wp:inline>
        </w:drawing>
      </w:r>
      <w:r w:rsidRPr="00301627">
        <w:rPr>
          <w:bCs/>
        </w:rPr>
        <w:t>= ru(4.25) = 5. According to the summation term in equation (C1), this means we sum over 5 harvest periods (</w:t>
      </w:r>
      <w:r w:rsidRPr="00301627">
        <w:rPr>
          <w:bCs/>
          <w:i/>
        </w:rPr>
        <w:t>t</w:t>
      </w:r>
      <w:r w:rsidRPr="00301627">
        <w:rPr>
          <w:bCs/>
        </w:rPr>
        <w:t xml:space="preserve"> = 0,1,2,3,4). Given this series of </w:t>
      </w:r>
      <w:r w:rsidRPr="00301627">
        <w:rPr>
          <w:bCs/>
          <w:i/>
        </w:rPr>
        <w:t>t</w:t>
      </w:r>
      <w:r w:rsidRPr="00301627">
        <w:rPr>
          <w:bCs/>
        </w:rPr>
        <w:t xml:space="preserve">, we evaluate </w:t>
      </w:r>
      <w:r w:rsidRPr="00301627">
        <w:rPr>
          <w:bCs/>
          <w:i/>
        </w:rPr>
        <w:t>f</w:t>
      </w:r>
      <w:r w:rsidRPr="00301627">
        <w:rPr>
          <w:bCs/>
        </w:rPr>
        <w:t xml:space="preserve"> at 17, 13, 9, 5, and 1 years since a harvest (we use </w:t>
      </w:r>
      <w:r>
        <w:rPr>
          <w:bCs/>
          <w:noProof/>
          <w:position w:val="-12"/>
        </w:rPr>
        <w:lastRenderedPageBreak/>
        <w:drawing>
          <wp:inline distT="0" distB="0" distL="0" distR="0">
            <wp:extent cx="2499360" cy="21336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5"/>
                    <a:srcRect/>
                    <a:stretch>
                      <a:fillRect/>
                    </a:stretch>
                  </pic:blipFill>
                  <pic:spPr bwMode="auto">
                    <a:xfrm>
                      <a:off x="0" y="0"/>
                      <a:ext cx="2499360" cy="213360"/>
                    </a:xfrm>
                    <a:prstGeom prst="rect">
                      <a:avLst/>
                    </a:prstGeom>
                    <a:noFill/>
                    <a:ln w="9525">
                      <a:noFill/>
                      <a:miter lim="800000"/>
                      <a:headEnd/>
                      <a:tailEnd/>
                    </a:ln>
                  </pic:spPr>
                </pic:pic>
              </a:graphicData>
            </a:graphic>
          </wp:inline>
        </w:drawing>
      </w:r>
      <w:r w:rsidRPr="00301627">
        <w:rPr>
          <w:bCs/>
        </w:rPr>
        <w:t xml:space="preserve"> to convert the series of </w:t>
      </w:r>
      <w:r w:rsidRPr="00301627">
        <w:rPr>
          <w:bCs/>
          <w:i/>
          <w:u w:val="single"/>
        </w:rPr>
        <w:t>t</w:t>
      </w:r>
      <w:r w:rsidRPr="00301627">
        <w:rPr>
          <w:bCs/>
        </w:rPr>
        <w:t xml:space="preserve">’s into years since harvest).  </w:t>
      </w:r>
    </w:p>
    <w:p w:rsidR="00DF141A" w:rsidRPr="00301627" w:rsidRDefault="00DF141A" w:rsidP="00DF141A">
      <w:pPr>
        <w:ind w:left="540"/>
        <w:jc w:val="both"/>
        <w:rPr>
          <w:bCs/>
        </w:rPr>
      </w:pPr>
    </w:p>
    <w:p w:rsidR="00DF141A" w:rsidRDefault="00DF141A" w:rsidP="00DF141A">
      <w:pPr>
        <w:ind w:left="540"/>
        <w:jc w:val="both"/>
      </w:pPr>
      <w:r w:rsidRPr="00301627">
        <w:rPr>
          <w:bCs/>
        </w:rPr>
        <w:t xml:space="preserve">Alternatively, if </w:t>
      </w:r>
      <w:r w:rsidRPr="00301627">
        <w:rPr>
          <w:bCs/>
          <w:i/>
        </w:rPr>
        <w:t>start_date</w:t>
      </w:r>
      <w:r w:rsidRPr="00301627">
        <w:rPr>
          <w:bCs/>
          <w:i/>
          <w:vertAlign w:val="subscript"/>
        </w:rPr>
        <w:t>x</w:t>
      </w:r>
      <w:r w:rsidRPr="00301627">
        <w:rPr>
          <w:bCs/>
        </w:rPr>
        <w:t xml:space="preserve"> = 1980, </w:t>
      </w:r>
      <w:r w:rsidRPr="00301627">
        <w:rPr>
          <w:bCs/>
          <w:i/>
        </w:rPr>
        <w:t>yr_cur</w:t>
      </w:r>
      <w:r w:rsidRPr="00301627">
        <w:rPr>
          <w:bCs/>
        </w:rPr>
        <w:t xml:space="preserve"> = 2000, and </w:t>
      </w:r>
      <w:r w:rsidRPr="00301627">
        <w:rPr>
          <w:bCs/>
          <w:i/>
        </w:rPr>
        <w:t>Freq_cur</w:t>
      </w:r>
      <w:r w:rsidRPr="00301627">
        <w:rPr>
          <w:bCs/>
          <w:i/>
          <w:vertAlign w:val="subscript"/>
        </w:rPr>
        <w:t>x</w:t>
      </w:r>
      <w:r w:rsidRPr="00301627">
        <w:rPr>
          <w:bCs/>
        </w:rPr>
        <w:t xml:space="preserve"> = 2 then ru</w:t>
      </w:r>
      <w:r>
        <w:rPr>
          <w:bCs/>
          <w:noProof/>
          <w:position w:val="-32"/>
        </w:rPr>
        <w:drawing>
          <wp:inline distT="0" distB="0" distL="0" distR="0">
            <wp:extent cx="1584960" cy="49784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6"/>
                    <a:srcRect/>
                    <a:stretch>
                      <a:fillRect/>
                    </a:stretch>
                  </pic:blipFill>
                  <pic:spPr bwMode="auto">
                    <a:xfrm>
                      <a:off x="0" y="0"/>
                      <a:ext cx="1584960" cy="497840"/>
                    </a:xfrm>
                    <a:prstGeom prst="rect">
                      <a:avLst/>
                    </a:prstGeom>
                    <a:noFill/>
                    <a:ln w="9525">
                      <a:noFill/>
                      <a:miter lim="800000"/>
                      <a:headEnd/>
                      <a:tailEnd/>
                    </a:ln>
                  </pic:spPr>
                </pic:pic>
              </a:graphicData>
            </a:graphic>
          </wp:inline>
        </w:drawing>
      </w:r>
      <w:r w:rsidRPr="00301627">
        <w:rPr>
          <w:bCs/>
        </w:rPr>
        <w:t xml:space="preserve"> = ru(10) = 10. Therefore, according to equation (C1), ha</w:t>
      </w:r>
      <w:r>
        <w:t xml:space="preserve">rvests that contained </w:t>
      </w:r>
      <w:r w:rsidRPr="0063797F">
        <w:rPr>
          <w:i/>
        </w:rPr>
        <w:t>Cut_cur</w:t>
      </w:r>
      <w:r w:rsidRPr="0063797F">
        <w:rPr>
          <w:i/>
          <w:vertAlign w:val="subscript"/>
        </w:rPr>
        <w:t>x</w:t>
      </w:r>
      <w:r>
        <w:t xml:space="preserve"> of carbon ha</w:t>
      </w:r>
      <w:r w:rsidRPr="0063797F">
        <w:rPr>
          <w:vertAlign w:val="superscript"/>
        </w:rPr>
        <w:t>-1</w:t>
      </w:r>
      <w:r>
        <w:t xml:space="preserve"> occurred on the parcel 20, 18, 16, 14, 12, 10, 8, 6, 4, and 2 years before the year 2000 (note that we do not include a harvest that is scheduled to occur in the current year in the HWP carbon pool; this carbon is still </w:t>
      </w:r>
      <w:r w:rsidRPr="00BD2ED2">
        <w:rPr>
          <w:i/>
          <w:u w:val="single"/>
        </w:rPr>
        <w:t>in situ</w:t>
      </w:r>
      <w:r>
        <w:t xml:space="preserve"> in the current year).</w:t>
      </w:r>
    </w:p>
    <w:p w:rsidR="00DF141A" w:rsidRPr="0076293F" w:rsidRDefault="00DF141A" w:rsidP="00DF141A">
      <w:pPr>
        <w:ind w:left="540"/>
        <w:jc w:val="both"/>
      </w:pPr>
    </w:p>
    <w:p w:rsidR="00DF141A" w:rsidRPr="0076293F" w:rsidRDefault="00DF141A" w:rsidP="00DF141A">
      <w:pPr>
        <w:ind w:left="540"/>
        <w:jc w:val="both"/>
      </w:pPr>
      <w:r w:rsidRPr="0076293F">
        <w:t xml:space="preserve">We use </w:t>
      </w:r>
      <w:r w:rsidRPr="0076293F">
        <w:rPr>
          <w:i/>
        </w:rPr>
        <w:t>C_den_cur</w:t>
      </w:r>
      <w:r w:rsidRPr="0076293F">
        <w:t xml:space="preserve"> and </w:t>
      </w:r>
      <w:r>
        <w:rPr>
          <w:i/>
        </w:rPr>
        <w:t>BCEF</w:t>
      </w:r>
      <w:r w:rsidRPr="0076293F">
        <w:rPr>
          <w:i/>
        </w:rPr>
        <w:t>_cur</w:t>
      </w:r>
      <w:r w:rsidRPr="0076293F">
        <w:t xml:space="preserve"> to measure the </w:t>
      </w:r>
      <w:r w:rsidRPr="00301627">
        <w:t xml:space="preserve">mass </w:t>
      </w:r>
      <w:r w:rsidRPr="00301627">
        <w:rPr>
          <w:i/>
        </w:rPr>
        <w:t>(Bio_HWP_cur)</w:t>
      </w:r>
      <w:r w:rsidRPr="00301627">
        <w:t xml:space="preserve"> and volume </w:t>
      </w:r>
      <w:r w:rsidRPr="00301627">
        <w:rPr>
          <w:i/>
        </w:rPr>
        <w:t>(Vol_HWP_cur)</w:t>
      </w:r>
      <w:r w:rsidRPr="00301627">
        <w:t xml:space="preserve"> of wood that has been removed from a parcel from the </w:t>
      </w:r>
      <w:r w:rsidRPr="00301627">
        <w:rPr>
          <w:i/>
        </w:rPr>
        <w:t>start_date</w:t>
      </w:r>
      <w:r w:rsidRPr="00301627">
        <w:t xml:space="preserve"> to the current year. </w:t>
      </w:r>
      <w:r w:rsidRPr="00301627">
        <w:rPr>
          <w:i/>
        </w:rPr>
        <w:t>Bio_HWP_cur</w:t>
      </w:r>
      <w:r w:rsidRPr="00301627">
        <w:t xml:space="preserve">for parcel </w:t>
      </w:r>
      <w:r w:rsidRPr="00301627">
        <w:rPr>
          <w:i/>
        </w:rPr>
        <w:t>x</w:t>
      </w:r>
      <w:r w:rsidRPr="00301627">
        <w:t xml:space="preserve"> is measured in Mg (dry matter) ha</w:t>
      </w:r>
      <w:r w:rsidRPr="00301627">
        <w:rPr>
          <w:vertAlign w:val="superscript"/>
        </w:rPr>
        <w:t>-1</w:t>
      </w:r>
      <w:r w:rsidRPr="00301627">
        <w:t xml:space="preserve"> and</w:t>
      </w:r>
      <w:r>
        <w:t xml:space="preserve"> is given by:</w:t>
      </w:r>
    </w:p>
    <w:p w:rsidR="00DF141A" w:rsidRPr="0076293F" w:rsidRDefault="00DF141A" w:rsidP="00DF141A">
      <w:pPr>
        <w:ind w:left="540" w:firstLine="720"/>
        <w:jc w:val="both"/>
      </w:pPr>
      <w:r>
        <w:rPr>
          <w:noProof/>
          <w:position w:val="-32"/>
        </w:rPr>
        <w:drawing>
          <wp:inline distT="0" distB="0" distL="0" distR="0">
            <wp:extent cx="4206240" cy="416560"/>
            <wp:effectExtent l="25400" t="0" r="1016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7"/>
                    <a:srcRect/>
                    <a:stretch>
                      <a:fillRect/>
                    </a:stretch>
                  </pic:blipFill>
                  <pic:spPr bwMode="auto">
                    <a:xfrm>
                      <a:off x="0" y="0"/>
                      <a:ext cx="4206240" cy="416560"/>
                    </a:xfrm>
                    <a:prstGeom prst="rect">
                      <a:avLst/>
                    </a:prstGeom>
                    <a:solidFill>
                      <a:srgbClr val="FFFFFF"/>
                    </a:solidFill>
                    <a:ln w="9525">
                      <a:noFill/>
                      <a:miter lim="800000"/>
                      <a:headEnd/>
                      <a:tailEnd/>
                    </a:ln>
                  </pic:spPr>
                </pic:pic>
              </a:graphicData>
            </a:graphic>
          </wp:inline>
        </w:drawing>
      </w:r>
      <w:r>
        <w:tab/>
      </w:r>
      <w:r w:rsidRPr="0076293F">
        <w:tab/>
        <w:t>(C3)</w:t>
      </w:r>
    </w:p>
    <w:p w:rsidR="00DF141A" w:rsidRPr="0076293F" w:rsidRDefault="00DF141A" w:rsidP="00DF141A">
      <w:pPr>
        <w:ind w:left="540"/>
        <w:jc w:val="both"/>
      </w:pPr>
      <w:r w:rsidRPr="0076293F">
        <w:t xml:space="preserve">and </w:t>
      </w:r>
      <w:r w:rsidRPr="0076293F">
        <w:rPr>
          <w:i/>
        </w:rPr>
        <w:t>Vol_HWP_cur</w:t>
      </w:r>
      <w:r w:rsidRPr="0076293F">
        <w:t xml:space="preserve">for parcel </w:t>
      </w:r>
      <w:r w:rsidRPr="0076293F">
        <w:rPr>
          <w:i/>
        </w:rPr>
        <w:t>x</w:t>
      </w:r>
      <w:r w:rsidRPr="0076293F">
        <w:t xml:space="preserve"> is measured in m</w:t>
      </w:r>
      <w:r w:rsidRPr="0076293F">
        <w:rPr>
          <w:vertAlign w:val="superscript"/>
        </w:rPr>
        <w:t>3</w:t>
      </w:r>
      <w:r w:rsidRPr="0076293F">
        <w:t xml:space="preserve"> of wood ha</w:t>
      </w:r>
      <w:r w:rsidRPr="0076293F">
        <w:rPr>
          <w:vertAlign w:val="superscript"/>
        </w:rPr>
        <w:t>-1</w:t>
      </w:r>
      <w:r w:rsidRPr="0076293F">
        <w:t xml:space="preserve"> and is given by,</w:t>
      </w:r>
    </w:p>
    <w:p w:rsidR="00DF141A" w:rsidRPr="00DB7E60" w:rsidRDefault="00DF141A" w:rsidP="00DF141A">
      <w:pPr>
        <w:ind w:left="540" w:firstLine="720"/>
        <w:jc w:val="both"/>
      </w:pPr>
      <w:r>
        <w:rPr>
          <w:noProof/>
          <w:position w:val="-30"/>
        </w:rPr>
        <w:drawing>
          <wp:inline distT="0" distB="0" distL="0" distR="0">
            <wp:extent cx="3058160" cy="396240"/>
            <wp:effectExtent l="2540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8"/>
                    <a:srcRect/>
                    <a:stretch>
                      <a:fillRect/>
                    </a:stretch>
                  </pic:blipFill>
                  <pic:spPr bwMode="auto">
                    <a:xfrm>
                      <a:off x="0" y="0"/>
                      <a:ext cx="3058160" cy="396240"/>
                    </a:xfrm>
                    <a:prstGeom prst="rect">
                      <a:avLst/>
                    </a:prstGeom>
                    <a:solidFill>
                      <a:srgbClr val="FFFFFF"/>
                    </a:solidFill>
                    <a:ln w="9525">
                      <a:noFill/>
                      <a:miter lim="800000"/>
                      <a:headEnd/>
                      <a:tailEnd/>
                    </a:ln>
                  </pic:spPr>
                </pic:pic>
              </a:graphicData>
            </a:graphic>
          </wp:inline>
        </w:drawing>
      </w:r>
      <w:r>
        <w:tab/>
      </w:r>
      <w:r>
        <w:tab/>
      </w:r>
      <w:r>
        <w:tab/>
      </w:r>
      <w:r>
        <w:tab/>
        <w:t>(C4)</w:t>
      </w:r>
    </w:p>
    <w:p w:rsidR="00DF141A" w:rsidRDefault="00DF141A" w:rsidP="00DF141A">
      <w:pPr>
        <w:ind w:left="540"/>
        <w:jc w:val="both"/>
      </w:pPr>
      <w:r>
        <w:t>As mentioned before, the model places all parcel-level values into a grid cell map that comports with the four pool storage map.</w:t>
      </w:r>
    </w:p>
    <w:p w:rsidR="00DF141A" w:rsidRPr="0076293F" w:rsidRDefault="00DF141A" w:rsidP="00DF141A">
      <w:pPr>
        <w:ind w:firstLine="720"/>
        <w:jc w:val="both"/>
      </w:pPr>
    </w:p>
    <w:p w:rsidR="00DF141A" w:rsidRPr="00210659" w:rsidRDefault="00DF141A" w:rsidP="00DF141A">
      <w:pPr>
        <w:numPr>
          <w:ilvl w:val="0"/>
          <w:numId w:val="1"/>
        </w:numPr>
        <w:suppressAutoHyphens/>
        <w:jc w:val="both"/>
      </w:pPr>
      <w:r>
        <w:rPr>
          <w:b/>
        </w:rPr>
        <w:t>Future Scenarios(optional – required for valuation)</w:t>
      </w:r>
      <w:r>
        <w:t>. If you have a LULC map (data input #1) for a future landscape scenario, then expected sequestration rates in the four major carbon pools on the landscape can be measured.Similarly, sequestration rates in the HWP carbon pool can be measured with a harvest rate map (data input #3) for th</w:t>
      </w:r>
      <w:r w:rsidRPr="00210659">
        <w:t xml:space="preserve">is future landscape.  </w:t>
      </w:r>
    </w:p>
    <w:p w:rsidR="00DF141A" w:rsidRDefault="00DF141A" w:rsidP="00DF141A">
      <w:pPr>
        <w:jc w:val="both"/>
        <w:rPr>
          <w:b/>
        </w:rPr>
      </w:pPr>
    </w:p>
    <w:p w:rsidR="00DF141A" w:rsidRPr="00301627" w:rsidRDefault="00DF141A" w:rsidP="00DF141A">
      <w:pPr>
        <w:ind w:left="540"/>
        <w:jc w:val="both"/>
      </w:pPr>
      <w:r>
        <w:t>A</w:t>
      </w:r>
      <w:r w:rsidRPr="00301627">
        <w:t xml:space="preserve"> future land cover map (a raster dataset) should be formatted according to the same specifications as the current land cover map (input #1).   </w:t>
      </w:r>
    </w:p>
    <w:p w:rsidR="00DF141A" w:rsidRPr="00301627" w:rsidRDefault="00DF141A" w:rsidP="00DF141A">
      <w:pPr>
        <w:ind w:left="540"/>
        <w:jc w:val="both"/>
      </w:pPr>
    </w:p>
    <w:p w:rsidR="00DF141A" w:rsidRDefault="00DF141A" w:rsidP="00DF141A">
      <w:pPr>
        <w:ind w:left="540"/>
        <w:jc w:val="both"/>
      </w:pPr>
      <w:r w:rsidRPr="00301627">
        <w:t xml:space="preserve">If you provide a future harvest rate map then the HWP carbon pool can be tracked over time. The future harvest rate map should be formatted according to the same specifications as the current harvest rate map: a polygon map where values for FID, </w:t>
      </w:r>
      <w:r w:rsidRPr="00301627">
        <w:rPr>
          <w:i/>
        </w:rPr>
        <w:t>Cut_fut</w:t>
      </w:r>
      <w:r w:rsidRPr="00301627">
        <w:t xml:space="preserve">, </w:t>
      </w:r>
      <w:r w:rsidRPr="00301627">
        <w:rPr>
          <w:i/>
        </w:rPr>
        <w:t>Freq_fut</w:t>
      </w:r>
      <w:r w:rsidRPr="00301627">
        <w:t xml:space="preserve">, </w:t>
      </w:r>
      <w:r w:rsidRPr="00301627">
        <w:rPr>
          <w:i/>
        </w:rPr>
        <w:t>Decay_fut</w:t>
      </w:r>
      <w:r w:rsidRPr="00301627">
        <w:t xml:space="preserve">, </w:t>
      </w:r>
      <w:r w:rsidRPr="00301627">
        <w:rPr>
          <w:i/>
        </w:rPr>
        <w:t>C_den_fut</w:t>
      </w:r>
      <w:r w:rsidRPr="00301627">
        <w:t xml:space="preserve">, and </w:t>
      </w:r>
      <w:r w:rsidRPr="00301627">
        <w:rPr>
          <w:i/>
        </w:rPr>
        <w:t>BCEF_fut</w:t>
      </w:r>
      <w:r w:rsidRPr="00301627">
        <w:t xml:space="preserve"> are attributed to each parcel that is expected be harvested at some point between the year given by </w:t>
      </w:r>
      <w:r>
        <w:rPr>
          <w:noProof/>
          <w:position w:val="-24"/>
        </w:rPr>
        <w:drawing>
          <wp:inline distT="0" distB="0" distL="0" distR="0">
            <wp:extent cx="1168400" cy="39624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9"/>
                    <a:srcRect/>
                    <a:stretch>
                      <a:fillRect/>
                    </a:stretch>
                  </pic:blipFill>
                  <pic:spPr bwMode="auto">
                    <a:xfrm>
                      <a:off x="0" y="0"/>
                      <a:ext cx="1168400" cy="396240"/>
                    </a:xfrm>
                    <a:prstGeom prst="rect">
                      <a:avLst/>
                    </a:prstGeom>
                    <a:noFill/>
                    <a:ln w="9525">
                      <a:noFill/>
                      <a:miter lim="800000"/>
                      <a:headEnd/>
                      <a:tailEnd/>
                    </a:ln>
                  </pic:spPr>
                </pic:pic>
              </a:graphicData>
            </a:graphic>
          </wp:inline>
        </w:drawing>
      </w:r>
      <w:r w:rsidRPr="00301627">
        <w:t xml:space="preserve"> and </w:t>
      </w:r>
      <w:r w:rsidRPr="00301627">
        <w:rPr>
          <w:i/>
        </w:rPr>
        <w:t>yr_fut</w:t>
      </w:r>
      <w:r w:rsidRPr="00301627">
        <w:t xml:space="preserve"> where </w:t>
      </w:r>
      <w:r w:rsidRPr="00301627">
        <w:rPr>
          <w:i/>
        </w:rPr>
        <w:t>yr_fut</w:t>
      </w:r>
      <w:r w:rsidRPr="00301627">
        <w:t xml:space="preserve"> indicates the year associated with the future land cover map (e.g., if </w:t>
      </w:r>
      <w:r w:rsidRPr="00301627">
        <w:rPr>
          <w:i/>
        </w:rPr>
        <w:t>yr_cur</w:t>
      </w:r>
      <w:r w:rsidRPr="00301627">
        <w:t xml:space="preserve"> is 2000 and </w:t>
      </w:r>
      <w:r w:rsidRPr="00301627">
        <w:rPr>
          <w:i/>
        </w:rPr>
        <w:t>fut_yr</w:t>
      </w:r>
      <w:r w:rsidRPr="00301627">
        <w:t xml:space="preserve"> is 2050 then </w:t>
      </w:r>
      <w:r>
        <w:rPr>
          <w:noProof/>
          <w:position w:val="-24"/>
        </w:rPr>
        <w:drawing>
          <wp:inline distT="0" distB="0" distL="0" distR="0">
            <wp:extent cx="1168400" cy="3962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9"/>
                    <a:srcRect/>
                    <a:stretch>
                      <a:fillRect/>
                    </a:stretch>
                  </pic:blipFill>
                  <pic:spPr bwMode="auto">
                    <a:xfrm>
                      <a:off x="0" y="0"/>
                      <a:ext cx="1168400" cy="396240"/>
                    </a:xfrm>
                    <a:prstGeom prst="rect">
                      <a:avLst/>
                    </a:prstGeom>
                    <a:noFill/>
                    <a:ln w="9525">
                      <a:noFill/>
                      <a:miter lim="800000"/>
                      <a:headEnd/>
                      <a:tailEnd/>
                    </a:ln>
                  </pic:spPr>
                </pic:pic>
              </a:graphicData>
            </a:graphic>
          </wp:inline>
        </w:drawing>
      </w:r>
      <w:r w:rsidRPr="00301627">
        <w:t xml:space="preserve"> = 2025).  This means that current harvest rate map conditions hold on the landscape until the year halfway between the curr</w:t>
      </w:r>
      <w:r>
        <w:t xml:space="preserve">ent and future </w:t>
      </w:r>
      <w:r>
        <w:lastRenderedPageBreak/>
        <w:t xml:space="preserve">years. The harvest variables for the future will be applied in the year </w:t>
      </w:r>
      <w:r>
        <w:rPr>
          <w:noProof/>
          <w:position w:val="-24"/>
        </w:rPr>
        <w:drawing>
          <wp:inline distT="0" distB="0" distL="0" distR="0">
            <wp:extent cx="1168400" cy="39624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0"/>
                    <a:srcRect/>
                    <a:stretch>
                      <a:fillRect/>
                    </a:stretch>
                  </pic:blipFill>
                  <pic:spPr bwMode="auto">
                    <a:xfrm>
                      <a:off x="0" y="0"/>
                      <a:ext cx="1168400" cy="396240"/>
                    </a:xfrm>
                    <a:prstGeom prst="rect">
                      <a:avLst/>
                    </a:prstGeom>
                    <a:noFill/>
                    <a:ln w="9525">
                      <a:noFill/>
                      <a:miter lim="800000"/>
                      <a:headEnd/>
                      <a:tailEnd/>
                    </a:ln>
                  </pic:spPr>
                </pic:pic>
              </a:graphicData>
            </a:graphic>
          </wp:inline>
        </w:drawing>
      </w:r>
      <w:r>
        <w:t xml:space="preserve">. Note that any fraction is round down (e.g., if </w:t>
      </w:r>
      <w:r w:rsidRPr="0098282A">
        <w:rPr>
          <w:i/>
        </w:rPr>
        <w:t>yr_cur</w:t>
      </w:r>
      <w:r>
        <w:t xml:space="preserve"> is 2000 and </w:t>
      </w:r>
      <w:r w:rsidRPr="0098282A">
        <w:rPr>
          <w:i/>
        </w:rPr>
        <w:t>fut_yr</w:t>
      </w:r>
      <w:r>
        <w:t xml:space="preserve"> is 2053 then </w:t>
      </w:r>
      <w:r>
        <w:rPr>
          <w:noProof/>
          <w:position w:val="-24"/>
        </w:rPr>
        <w:drawing>
          <wp:inline distT="0" distB="0" distL="0" distR="0">
            <wp:extent cx="1168400" cy="39624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9"/>
                    <a:srcRect/>
                    <a:stretch>
                      <a:fillRect/>
                    </a:stretch>
                  </pic:blipFill>
                  <pic:spPr bwMode="auto">
                    <a:xfrm>
                      <a:off x="0" y="0"/>
                      <a:ext cx="1168400" cy="396240"/>
                    </a:xfrm>
                    <a:prstGeom prst="rect">
                      <a:avLst/>
                    </a:prstGeom>
                    <a:noFill/>
                    <a:ln w="9525">
                      <a:noFill/>
                      <a:miter lim="800000"/>
                      <a:headEnd/>
                      <a:tailEnd/>
                    </a:ln>
                  </pic:spPr>
                </pic:pic>
              </a:graphicData>
            </a:graphic>
          </wp:inline>
        </w:drawing>
      </w:r>
      <w:r>
        <w:t xml:space="preserve"> = 2026). The </w:t>
      </w:r>
      <w:r w:rsidRPr="00DE340B">
        <w:rPr>
          <w:b/>
        </w:rPr>
        <w:t>future harvest rate map</w:t>
      </w:r>
      <w:r>
        <w:t xml:space="preserve"> does not have to retain any spatial semblance to the current harvest rate map. Nor do parcels that are harvested on the current and future maps have to have a common FID.  </w:t>
      </w:r>
    </w:p>
    <w:p w:rsidR="00DF141A" w:rsidRDefault="00DF141A" w:rsidP="00DF141A">
      <w:pPr>
        <w:ind w:left="720"/>
        <w:jc w:val="both"/>
      </w:pPr>
    </w:p>
    <w:p w:rsidR="00DF141A" w:rsidRDefault="00DF141A" w:rsidP="00DF141A">
      <w:pPr>
        <w:ind w:left="1260"/>
      </w:pPr>
      <w:r w:rsidRPr="005127E5">
        <w:rPr>
          <w:i/>
        </w:rPr>
        <w:t>Sample data files for future scenarios are future land cover:</w:t>
      </w:r>
      <w:r>
        <w:t xml:space="preserve"> (</w:t>
      </w:r>
      <w:r w:rsidRPr="001A72A2">
        <w:t>C:\</w:t>
      </w:r>
      <w:r>
        <w:t>InVEST</w:t>
      </w:r>
      <w:r w:rsidRPr="001A72A2">
        <w:t>\Base_Data</w:t>
      </w:r>
      <w:r>
        <w:t>\</w:t>
      </w:r>
      <w:r w:rsidRPr="001A72A2">
        <w:rPr>
          <w:b/>
        </w:rPr>
        <w:t>lulc_</w:t>
      </w:r>
      <w:r>
        <w:rPr>
          <w:b/>
        </w:rPr>
        <w:t>samp</w:t>
      </w:r>
      <w:r w:rsidRPr="001A72A2">
        <w:rPr>
          <w:b/>
        </w:rPr>
        <w:t>_fut</w:t>
      </w:r>
      <w:r>
        <w:rPr>
          <w:b/>
        </w:rPr>
        <w:t xml:space="preserve">) </w:t>
      </w:r>
      <w:r>
        <w:t>and future harvest rate map (C:\InVEST\Carbon\</w:t>
      </w:r>
      <w:r w:rsidRPr="001A72A2">
        <w:rPr>
          <w:b/>
        </w:rPr>
        <w:t>harv_</w:t>
      </w:r>
      <w:r>
        <w:rPr>
          <w:b/>
        </w:rPr>
        <w:t>samp</w:t>
      </w:r>
      <w:r w:rsidRPr="001A72A2">
        <w:rPr>
          <w:b/>
        </w:rPr>
        <w:t>_fut.shp</w:t>
      </w:r>
      <w:r>
        <w:t>).</w:t>
      </w:r>
    </w:p>
    <w:p w:rsidR="00DF141A" w:rsidRDefault="00DF141A" w:rsidP="00DF141A">
      <w:pPr>
        <w:ind w:left="720"/>
        <w:rPr>
          <w:u w:val="single"/>
        </w:rPr>
      </w:pPr>
    </w:p>
    <w:p w:rsidR="00DF141A" w:rsidRDefault="00DF141A" w:rsidP="00DF141A">
      <w:pPr>
        <w:ind w:left="547"/>
        <w:jc w:val="both"/>
      </w:pPr>
      <w:r w:rsidRPr="008E3B20">
        <w:rPr>
          <w:u w:val="single"/>
        </w:rPr>
        <w:t>Example</w:t>
      </w:r>
      <w:r>
        <w:rPr>
          <w:u w:val="single"/>
        </w:rPr>
        <w:t xml:space="preserve">: </w:t>
      </w:r>
      <w:r w:rsidRPr="00210659">
        <w:t>A hypothetical study of future carbon storage in HWP for four forest parcels.Continuing with current harvest rate map (2005) described above</w:t>
      </w:r>
      <w:r w:rsidRPr="00210659">
        <w:rPr>
          <w:u w:val="single"/>
        </w:rPr>
        <w:t>.</w:t>
      </w:r>
      <w:r w:rsidRPr="00210659">
        <w:t xml:space="preserve"> assume the future LULC map corresponds to the year 2035. Three of the four forest parcels that have wood removed on the current landscape keep their boundaries in the future and continue to have wood removed into the future (parcels with FID 1, 3, and 4 on the current harvest rate map). </w:t>
      </w:r>
      <w:r>
        <w:t>However the first parcel changes its management with new</w:t>
      </w:r>
      <w:r w:rsidRPr="00E619A0">
        <w:rPr>
          <w:i/>
        </w:rPr>
        <w:t>Cut</w:t>
      </w:r>
      <w:r>
        <w:t xml:space="preserve"> and </w:t>
      </w:r>
      <w:r w:rsidRPr="00E619A0">
        <w:rPr>
          <w:i/>
        </w:rPr>
        <w:t>Freq</w:t>
      </w:r>
      <w:r>
        <w:t xml:space="preserve"> values (</w:t>
      </w:r>
      <w:r w:rsidRPr="00E619A0">
        <w:rPr>
          <w:i/>
        </w:rPr>
        <w:t>Cut_cur</w:t>
      </w:r>
      <w:r w:rsidRPr="00E619A0">
        <w:rPr>
          <w:i/>
          <w:vertAlign w:val="subscript"/>
        </w:rPr>
        <w:t>x</w:t>
      </w:r>
      <w:r>
        <w:rPr>
          <w:noProof/>
          <w:position w:val="-4"/>
        </w:rPr>
        <w:drawing>
          <wp:inline distT="0" distB="0" distL="0" distR="0">
            <wp:extent cx="142240" cy="142240"/>
            <wp:effectExtent l="2540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1"/>
                    <a:srcRect/>
                    <a:stretch>
                      <a:fillRect/>
                    </a:stretch>
                  </pic:blipFill>
                  <pic:spPr bwMode="auto">
                    <a:xfrm>
                      <a:off x="0" y="0"/>
                      <a:ext cx="142240" cy="142240"/>
                    </a:xfrm>
                    <a:prstGeom prst="rect">
                      <a:avLst/>
                    </a:prstGeom>
                    <a:noFill/>
                    <a:ln w="9525">
                      <a:noFill/>
                      <a:miter lim="800000"/>
                      <a:headEnd/>
                      <a:tailEnd/>
                    </a:ln>
                  </pic:spPr>
                </pic:pic>
              </a:graphicData>
            </a:graphic>
          </wp:inline>
        </w:drawing>
      </w:r>
      <w:r w:rsidRPr="00E619A0">
        <w:rPr>
          <w:i/>
        </w:rPr>
        <w:t>Cut_fut</w:t>
      </w:r>
      <w:r w:rsidRPr="00E619A0">
        <w:rPr>
          <w:i/>
          <w:vertAlign w:val="subscript"/>
        </w:rPr>
        <w:t>x</w:t>
      </w:r>
      <w:r>
        <w:t xml:space="preserve"> and </w:t>
      </w:r>
      <w:r>
        <w:rPr>
          <w:i/>
        </w:rPr>
        <w:t>Freq_cur</w:t>
      </w:r>
      <w:r w:rsidRPr="00E619A0">
        <w:rPr>
          <w:i/>
          <w:vertAlign w:val="subscript"/>
        </w:rPr>
        <w:t>x</w:t>
      </w:r>
      <w:r>
        <w:rPr>
          <w:noProof/>
          <w:position w:val="-4"/>
        </w:rPr>
        <w:drawing>
          <wp:inline distT="0" distB="0" distL="0" distR="0">
            <wp:extent cx="142240" cy="142240"/>
            <wp:effectExtent l="2540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1"/>
                    <a:srcRect/>
                    <a:stretch>
                      <a:fillRect/>
                    </a:stretch>
                  </pic:blipFill>
                  <pic:spPr bwMode="auto">
                    <a:xfrm>
                      <a:off x="0" y="0"/>
                      <a:ext cx="142240" cy="142240"/>
                    </a:xfrm>
                    <a:prstGeom prst="rect">
                      <a:avLst/>
                    </a:prstGeom>
                    <a:noFill/>
                    <a:ln w="9525">
                      <a:noFill/>
                      <a:miter lim="800000"/>
                      <a:headEnd/>
                      <a:tailEnd/>
                    </a:ln>
                  </pic:spPr>
                </pic:pic>
              </a:graphicData>
            </a:graphic>
          </wp:inline>
        </w:drawing>
      </w:r>
      <w:r>
        <w:rPr>
          <w:i/>
        </w:rPr>
        <w:t>Freq</w:t>
      </w:r>
      <w:r w:rsidRPr="00E619A0">
        <w:rPr>
          <w:i/>
        </w:rPr>
        <w:t>_fut</w:t>
      </w:r>
      <w:r w:rsidRPr="00E619A0">
        <w:rPr>
          <w:i/>
          <w:vertAlign w:val="subscript"/>
        </w:rPr>
        <w:t>x</w:t>
      </w:r>
      <w:r>
        <w:t>). We assume these new management conditions begin in the year 2020 (given by</w:t>
      </w:r>
      <w:r>
        <w:rPr>
          <w:noProof/>
          <w:position w:val="-24"/>
        </w:rPr>
        <w:drawing>
          <wp:inline distT="0" distB="0" distL="0" distR="0">
            <wp:extent cx="1168400" cy="39624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0"/>
                    <a:srcRect/>
                    <a:stretch>
                      <a:fillRect/>
                    </a:stretch>
                  </pic:blipFill>
                  <pic:spPr bwMode="auto">
                    <a:xfrm>
                      <a:off x="0" y="0"/>
                      <a:ext cx="1168400" cy="396240"/>
                    </a:xfrm>
                    <a:prstGeom prst="rect">
                      <a:avLst/>
                    </a:prstGeom>
                    <a:noFill/>
                    <a:ln w="9525">
                      <a:noFill/>
                      <a:miter lim="800000"/>
                      <a:headEnd/>
                      <a:tailEnd/>
                    </a:ln>
                  </pic:spPr>
                </pic:pic>
              </a:graphicData>
            </a:graphic>
          </wp:inline>
        </w:drawing>
      </w:r>
      <w:r>
        <w:t xml:space="preserve">). Parcel 2 is not expected to be harvested at any point between </w:t>
      </w:r>
      <w:r>
        <w:rPr>
          <w:noProof/>
          <w:position w:val="-24"/>
        </w:rPr>
        <w:drawing>
          <wp:inline distT="0" distB="0" distL="0" distR="0">
            <wp:extent cx="1168400" cy="39624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2"/>
                    <a:srcRect/>
                    <a:stretch>
                      <a:fillRect/>
                    </a:stretch>
                  </pic:blipFill>
                  <pic:spPr bwMode="auto">
                    <a:xfrm>
                      <a:off x="0" y="0"/>
                      <a:ext cx="1168400" cy="396240"/>
                    </a:xfrm>
                    <a:prstGeom prst="rect">
                      <a:avLst/>
                    </a:prstGeom>
                    <a:noFill/>
                    <a:ln w="9525">
                      <a:noFill/>
                      <a:miter lim="800000"/>
                      <a:headEnd/>
                      <a:tailEnd/>
                    </a:ln>
                  </pic:spPr>
                </pic:pic>
              </a:graphicData>
            </a:graphic>
          </wp:inline>
        </w:drawing>
      </w:r>
      <w:r>
        <w:t xml:space="preserve">and </w:t>
      </w:r>
      <w:r w:rsidRPr="00BC2DF0">
        <w:rPr>
          <w:i/>
        </w:rPr>
        <w:t>yr_fut</w:t>
      </w:r>
      <w:r>
        <w:t xml:space="preserve">. Therefore, the model assumes that the harvest activity given in </w:t>
      </w:r>
      <w:r w:rsidRPr="00CA195F">
        <w:rPr>
          <w:bCs/>
        </w:rPr>
        <w:t>current harvest rate map for parcel 2 ends in 2020. In addition, the future harvest rate map in</w:t>
      </w:r>
      <w:r>
        <w:t xml:space="preserve">cludes a new harvested parcel (given by FID = 5). We assume that harvest begins there in 2020 as well. In parcels 3 and 4 harvest management does not change across the current and future landscapes. (Note that we retained the FID values across the two maps here; this is not necessary, as the ArcGIS program will perform the necessary spatial matches).  </w:t>
      </w:r>
    </w:p>
    <w:tbl>
      <w:tblPr>
        <w:tblpPr w:leftFromText="180" w:rightFromText="180" w:vertAnchor="text" w:horzAnchor="page" w:tblpX="3030" w:tblpY="1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0"/>
        <w:gridCol w:w="928"/>
        <w:gridCol w:w="1206"/>
        <w:gridCol w:w="1127"/>
        <w:gridCol w:w="1117"/>
        <w:gridCol w:w="1139"/>
      </w:tblGrid>
      <w:tr w:rsidR="00DF141A" w:rsidRPr="0098784F" w:rsidTr="00D50A14">
        <w:tc>
          <w:tcPr>
            <w:tcW w:w="660" w:type="dxa"/>
            <w:shd w:val="clear" w:color="auto" w:fill="99CCFF"/>
            <w:vAlign w:val="center"/>
          </w:tcPr>
          <w:p w:rsidR="00DF141A" w:rsidRPr="0098784F" w:rsidRDefault="00DF141A" w:rsidP="00D50A14">
            <w:pPr>
              <w:jc w:val="center"/>
            </w:pPr>
            <w:r>
              <w:rPr>
                <w:b/>
                <w:bCs/>
                <w:sz w:val="20"/>
                <w:szCs w:val="20"/>
              </w:rPr>
              <w:t>F</w:t>
            </w:r>
            <w:r w:rsidRPr="0098784F">
              <w:rPr>
                <w:b/>
                <w:bCs/>
                <w:sz w:val="20"/>
                <w:szCs w:val="20"/>
              </w:rPr>
              <w:t>ID</w:t>
            </w:r>
          </w:p>
        </w:tc>
        <w:tc>
          <w:tcPr>
            <w:tcW w:w="928" w:type="dxa"/>
            <w:shd w:val="clear" w:color="auto" w:fill="99CCFF"/>
            <w:vAlign w:val="center"/>
          </w:tcPr>
          <w:p w:rsidR="00DF141A" w:rsidRPr="0098784F" w:rsidRDefault="00DF141A" w:rsidP="00D50A14">
            <w:pPr>
              <w:jc w:val="center"/>
            </w:pPr>
            <w:r w:rsidRPr="0098784F">
              <w:rPr>
                <w:b/>
                <w:bCs/>
                <w:sz w:val="20"/>
                <w:szCs w:val="20"/>
              </w:rPr>
              <w:t>Cut</w:t>
            </w:r>
            <w:r>
              <w:rPr>
                <w:b/>
                <w:bCs/>
                <w:sz w:val="20"/>
                <w:szCs w:val="20"/>
              </w:rPr>
              <w:t>_fut</w:t>
            </w:r>
          </w:p>
        </w:tc>
        <w:tc>
          <w:tcPr>
            <w:tcW w:w="1206" w:type="dxa"/>
            <w:shd w:val="clear" w:color="auto" w:fill="99CCFF"/>
            <w:vAlign w:val="center"/>
          </w:tcPr>
          <w:p w:rsidR="00DF141A" w:rsidRPr="0098784F" w:rsidRDefault="00DF141A" w:rsidP="00D50A14">
            <w:pPr>
              <w:jc w:val="center"/>
            </w:pPr>
            <w:r w:rsidRPr="0098784F">
              <w:rPr>
                <w:b/>
                <w:bCs/>
                <w:sz w:val="20"/>
                <w:szCs w:val="20"/>
              </w:rPr>
              <w:t>Freq</w:t>
            </w:r>
            <w:r>
              <w:rPr>
                <w:b/>
                <w:bCs/>
                <w:sz w:val="20"/>
                <w:szCs w:val="20"/>
              </w:rPr>
              <w:t>_fut</w:t>
            </w:r>
          </w:p>
        </w:tc>
        <w:tc>
          <w:tcPr>
            <w:tcW w:w="1127" w:type="dxa"/>
            <w:shd w:val="clear" w:color="auto" w:fill="99CCFF"/>
            <w:vAlign w:val="center"/>
          </w:tcPr>
          <w:p w:rsidR="00DF141A" w:rsidRPr="0098784F" w:rsidRDefault="00DF141A" w:rsidP="00D50A14">
            <w:pPr>
              <w:jc w:val="center"/>
            </w:pPr>
            <w:r w:rsidRPr="0098784F">
              <w:rPr>
                <w:b/>
                <w:bCs/>
                <w:sz w:val="20"/>
                <w:szCs w:val="20"/>
              </w:rPr>
              <w:t>Decay</w:t>
            </w:r>
            <w:r>
              <w:rPr>
                <w:b/>
                <w:bCs/>
                <w:sz w:val="20"/>
                <w:szCs w:val="20"/>
              </w:rPr>
              <w:t>_fut</w:t>
            </w:r>
          </w:p>
        </w:tc>
        <w:tc>
          <w:tcPr>
            <w:tcW w:w="1117" w:type="dxa"/>
            <w:shd w:val="clear" w:color="auto" w:fill="99CCFF"/>
          </w:tcPr>
          <w:p w:rsidR="00DF141A" w:rsidRPr="0098784F" w:rsidRDefault="00DF141A" w:rsidP="00D50A14">
            <w:pPr>
              <w:jc w:val="center"/>
              <w:rPr>
                <w:b/>
                <w:bCs/>
                <w:sz w:val="20"/>
                <w:szCs w:val="20"/>
              </w:rPr>
            </w:pPr>
            <w:r>
              <w:rPr>
                <w:b/>
                <w:bCs/>
                <w:sz w:val="20"/>
                <w:szCs w:val="20"/>
              </w:rPr>
              <w:t>C_den_fut</w:t>
            </w:r>
          </w:p>
        </w:tc>
        <w:tc>
          <w:tcPr>
            <w:tcW w:w="1139" w:type="dxa"/>
            <w:shd w:val="clear" w:color="auto" w:fill="99CCFF"/>
          </w:tcPr>
          <w:p w:rsidR="00DF141A" w:rsidRPr="0098784F" w:rsidRDefault="00DF141A" w:rsidP="00D50A14">
            <w:pPr>
              <w:jc w:val="center"/>
              <w:rPr>
                <w:b/>
                <w:bCs/>
                <w:sz w:val="20"/>
                <w:szCs w:val="20"/>
              </w:rPr>
            </w:pPr>
            <w:r>
              <w:rPr>
                <w:b/>
                <w:bCs/>
                <w:sz w:val="20"/>
                <w:szCs w:val="20"/>
              </w:rPr>
              <w:t>BCEF_fut</w:t>
            </w:r>
          </w:p>
        </w:tc>
      </w:tr>
      <w:tr w:rsidR="00DF141A" w:rsidRPr="0098784F" w:rsidTr="00D50A14">
        <w:tc>
          <w:tcPr>
            <w:tcW w:w="660" w:type="dxa"/>
            <w:tcBorders>
              <w:bottom w:val="single" w:sz="4" w:space="0" w:color="auto"/>
            </w:tcBorders>
          </w:tcPr>
          <w:p w:rsidR="00DF141A" w:rsidRPr="0098784F" w:rsidRDefault="00DF141A" w:rsidP="00D50A14">
            <w:pPr>
              <w:jc w:val="center"/>
            </w:pPr>
            <w:r w:rsidRPr="0098784F">
              <w:t>1</w:t>
            </w:r>
          </w:p>
        </w:tc>
        <w:tc>
          <w:tcPr>
            <w:tcW w:w="928" w:type="dxa"/>
            <w:tcBorders>
              <w:bottom w:val="single" w:sz="4" w:space="0" w:color="auto"/>
            </w:tcBorders>
          </w:tcPr>
          <w:p w:rsidR="00DF141A" w:rsidRPr="0098784F" w:rsidRDefault="00DF141A" w:rsidP="00D50A14">
            <w:pPr>
              <w:jc w:val="center"/>
            </w:pPr>
            <w:r>
              <w:t>50</w:t>
            </w:r>
          </w:p>
        </w:tc>
        <w:tc>
          <w:tcPr>
            <w:tcW w:w="1206" w:type="dxa"/>
            <w:tcBorders>
              <w:bottom w:val="single" w:sz="4" w:space="0" w:color="auto"/>
            </w:tcBorders>
          </w:tcPr>
          <w:p w:rsidR="00DF141A" w:rsidRPr="0098784F" w:rsidRDefault="00DF141A" w:rsidP="00D50A14">
            <w:pPr>
              <w:jc w:val="center"/>
            </w:pPr>
            <w:r>
              <w:t>10</w:t>
            </w:r>
          </w:p>
        </w:tc>
        <w:tc>
          <w:tcPr>
            <w:tcW w:w="1127" w:type="dxa"/>
            <w:tcBorders>
              <w:bottom w:val="single" w:sz="4" w:space="0" w:color="auto"/>
            </w:tcBorders>
          </w:tcPr>
          <w:p w:rsidR="00DF141A" w:rsidRPr="0098784F" w:rsidRDefault="00DF141A" w:rsidP="00D50A14">
            <w:pPr>
              <w:jc w:val="center"/>
            </w:pPr>
            <w:r w:rsidRPr="0098784F">
              <w:t>30</w:t>
            </w:r>
          </w:p>
        </w:tc>
        <w:tc>
          <w:tcPr>
            <w:tcW w:w="1117" w:type="dxa"/>
            <w:tcBorders>
              <w:bottom w:val="single" w:sz="4" w:space="0" w:color="auto"/>
            </w:tcBorders>
          </w:tcPr>
          <w:p w:rsidR="00DF141A" w:rsidRPr="0098784F" w:rsidRDefault="00DF141A" w:rsidP="00D50A14">
            <w:pPr>
              <w:jc w:val="center"/>
            </w:pPr>
            <w:r>
              <w:t>0.5</w:t>
            </w:r>
          </w:p>
        </w:tc>
        <w:tc>
          <w:tcPr>
            <w:tcW w:w="1139" w:type="dxa"/>
            <w:tcBorders>
              <w:bottom w:val="single" w:sz="4" w:space="0" w:color="auto"/>
            </w:tcBorders>
          </w:tcPr>
          <w:p w:rsidR="00DF141A" w:rsidRPr="0098784F" w:rsidRDefault="00DF141A" w:rsidP="00D50A14">
            <w:pPr>
              <w:jc w:val="center"/>
            </w:pPr>
            <w:r>
              <w:t>1</w:t>
            </w:r>
          </w:p>
        </w:tc>
      </w:tr>
      <w:tr w:rsidR="00DF141A" w:rsidRPr="0098784F" w:rsidTr="00D50A14">
        <w:tc>
          <w:tcPr>
            <w:tcW w:w="660" w:type="dxa"/>
            <w:shd w:val="clear" w:color="auto" w:fill="DDDDDD"/>
          </w:tcPr>
          <w:p w:rsidR="00DF141A" w:rsidRPr="0098784F" w:rsidRDefault="00DF141A" w:rsidP="00D50A14">
            <w:pPr>
              <w:jc w:val="center"/>
            </w:pPr>
            <w:r w:rsidRPr="0098784F">
              <w:t>3</w:t>
            </w:r>
          </w:p>
        </w:tc>
        <w:tc>
          <w:tcPr>
            <w:tcW w:w="928" w:type="dxa"/>
            <w:shd w:val="clear" w:color="auto" w:fill="DDDDDD"/>
          </w:tcPr>
          <w:p w:rsidR="00DF141A" w:rsidRPr="0098784F" w:rsidRDefault="00DF141A" w:rsidP="00D50A14">
            <w:pPr>
              <w:jc w:val="center"/>
            </w:pPr>
            <w:r w:rsidRPr="0098784F">
              <w:t>50</w:t>
            </w:r>
          </w:p>
        </w:tc>
        <w:tc>
          <w:tcPr>
            <w:tcW w:w="1206" w:type="dxa"/>
            <w:shd w:val="clear" w:color="auto" w:fill="DDDDDD"/>
          </w:tcPr>
          <w:p w:rsidR="00DF141A" w:rsidRPr="0098784F" w:rsidRDefault="00DF141A" w:rsidP="00D50A14">
            <w:pPr>
              <w:jc w:val="center"/>
            </w:pPr>
            <w:r w:rsidRPr="0098784F">
              <w:t>5</w:t>
            </w:r>
          </w:p>
        </w:tc>
        <w:tc>
          <w:tcPr>
            <w:tcW w:w="1127" w:type="dxa"/>
            <w:shd w:val="clear" w:color="auto" w:fill="DDDDDD"/>
          </w:tcPr>
          <w:p w:rsidR="00DF141A" w:rsidRPr="0098784F" w:rsidRDefault="00DF141A" w:rsidP="00D50A14">
            <w:pPr>
              <w:jc w:val="center"/>
            </w:pPr>
            <w:r w:rsidRPr="0098784F">
              <w:t>50</w:t>
            </w:r>
          </w:p>
        </w:tc>
        <w:tc>
          <w:tcPr>
            <w:tcW w:w="1117" w:type="dxa"/>
            <w:shd w:val="clear" w:color="auto" w:fill="DDDDDD"/>
          </w:tcPr>
          <w:p w:rsidR="00DF141A" w:rsidRPr="0098784F" w:rsidRDefault="00DF141A" w:rsidP="00D50A14">
            <w:pPr>
              <w:jc w:val="center"/>
            </w:pPr>
            <w:r>
              <w:t>0.5</w:t>
            </w:r>
          </w:p>
        </w:tc>
        <w:tc>
          <w:tcPr>
            <w:tcW w:w="1139" w:type="dxa"/>
            <w:shd w:val="clear" w:color="auto" w:fill="DDDDDD"/>
          </w:tcPr>
          <w:p w:rsidR="00DF141A" w:rsidRPr="0098784F" w:rsidRDefault="00DF141A" w:rsidP="00D50A14">
            <w:pPr>
              <w:jc w:val="center"/>
            </w:pPr>
            <w:r>
              <w:t>1</w:t>
            </w:r>
          </w:p>
        </w:tc>
      </w:tr>
      <w:tr w:rsidR="00DF141A" w:rsidRPr="0098784F" w:rsidTr="00D50A14">
        <w:tc>
          <w:tcPr>
            <w:tcW w:w="660" w:type="dxa"/>
            <w:tcBorders>
              <w:bottom w:val="single" w:sz="4" w:space="0" w:color="auto"/>
            </w:tcBorders>
          </w:tcPr>
          <w:p w:rsidR="00DF141A" w:rsidRPr="0098784F" w:rsidRDefault="00DF141A" w:rsidP="00D50A14">
            <w:pPr>
              <w:jc w:val="center"/>
            </w:pPr>
            <w:r w:rsidRPr="0098784F">
              <w:t>4</w:t>
            </w:r>
          </w:p>
        </w:tc>
        <w:tc>
          <w:tcPr>
            <w:tcW w:w="928" w:type="dxa"/>
            <w:tcBorders>
              <w:bottom w:val="single" w:sz="4" w:space="0" w:color="auto"/>
            </w:tcBorders>
          </w:tcPr>
          <w:p w:rsidR="00DF141A" w:rsidRPr="0098784F" w:rsidRDefault="00DF141A" w:rsidP="00D50A14">
            <w:pPr>
              <w:jc w:val="center"/>
            </w:pPr>
            <w:r w:rsidRPr="0098784F">
              <w:t>45</w:t>
            </w:r>
          </w:p>
        </w:tc>
        <w:tc>
          <w:tcPr>
            <w:tcW w:w="1206" w:type="dxa"/>
            <w:tcBorders>
              <w:bottom w:val="single" w:sz="4" w:space="0" w:color="auto"/>
            </w:tcBorders>
          </w:tcPr>
          <w:p w:rsidR="00DF141A" w:rsidRPr="0098784F" w:rsidRDefault="00DF141A" w:rsidP="00D50A14">
            <w:pPr>
              <w:jc w:val="center"/>
            </w:pPr>
            <w:r w:rsidRPr="0098784F">
              <w:t>1</w:t>
            </w:r>
          </w:p>
        </w:tc>
        <w:tc>
          <w:tcPr>
            <w:tcW w:w="1127" w:type="dxa"/>
            <w:tcBorders>
              <w:bottom w:val="single" w:sz="4" w:space="0" w:color="auto"/>
            </w:tcBorders>
          </w:tcPr>
          <w:p w:rsidR="00DF141A" w:rsidRPr="0098784F" w:rsidRDefault="00DF141A" w:rsidP="00D50A14">
            <w:pPr>
              <w:jc w:val="center"/>
            </w:pPr>
            <w:r w:rsidRPr="0098784F">
              <w:t>1</w:t>
            </w:r>
          </w:p>
        </w:tc>
        <w:tc>
          <w:tcPr>
            <w:tcW w:w="1117" w:type="dxa"/>
            <w:tcBorders>
              <w:bottom w:val="single" w:sz="4" w:space="0" w:color="auto"/>
            </w:tcBorders>
          </w:tcPr>
          <w:p w:rsidR="00DF141A" w:rsidRPr="0098784F" w:rsidRDefault="00DF141A" w:rsidP="00D50A14">
            <w:pPr>
              <w:jc w:val="center"/>
            </w:pPr>
            <w:r>
              <w:t>0.5</w:t>
            </w:r>
          </w:p>
        </w:tc>
        <w:tc>
          <w:tcPr>
            <w:tcW w:w="1139" w:type="dxa"/>
            <w:tcBorders>
              <w:bottom w:val="single" w:sz="4" w:space="0" w:color="auto"/>
            </w:tcBorders>
          </w:tcPr>
          <w:p w:rsidR="00DF141A" w:rsidRPr="0098784F" w:rsidRDefault="00DF141A" w:rsidP="00D50A14">
            <w:pPr>
              <w:jc w:val="center"/>
            </w:pPr>
            <w:r>
              <w:t>1</w:t>
            </w:r>
          </w:p>
        </w:tc>
      </w:tr>
      <w:tr w:rsidR="00DF141A" w:rsidRPr="0098784F" w:rsidTr="00D50A14">
        <w:tc>
          <w:tcPr>
            <w:tcW w:w="660" w:type="dxa"/>
            <w:shd w:val="clear" w:color="auto" w:fill="DDDDDD"/>
          </w:tcPr>
          <w:p w:rsidR="00DF141A" w:rsidRPr="0098784F" w:rsidRDefault="00DF141A" w:rsidP="00D50A14">
            <w:pPr>
              <w:jc w:val="center"/>
            </w:pPr>
            <w:r>
              <w:t>5</w:t>
            </w:r>
          </w:p>
        </w:tc>
        <w:tc>
          <w:tcPr>
            <w:tcW w:w="928" w:type="dxa"/>
            <w:shd w:val="clear" w:color="auto" w:fill="DDDDDD"/>
          </w:tcPr>
          <w:p w:rsidR="00DF141A" w:rsidRPr="0098784F" w:rsidRDefault="00DF141A" w:rsidP="00D50A14">
            <w:pPr>
              <w:jc w:val="center"/>
            </w:pPr>
            <w:r>
              <w:t>25</w:t>
            </w:r>
          </w:p>
        </w:tc>
        <w:tc>
          <w:tcPr>
            <w:tcW w:w="1206" w:type="dxa"/>
            <w:shd w:val="clear" w:color="auto" w:fill="DDDDDD"/>
          </w:tcPr>
          <w:p w:rsidR="00DF141A" w:rsidRPr="0098784F" w:rsidRDefault="00DF141A" w:rsidP="00D50A14">
            <w:pPr>
              <w:jc w:val="center"/>
            </w:pPr>
            <w:r>
              <w:t>2</w:t>
            </w:r>
          </w:p>
        </w:tc>
        <w:tc>
          <w:tcPr>
            <w:tcW w:w="1127" w:type="dxa"/>
            <w:shd w:val="clear" w:color="auto" w:fill="DDDDDD"/>
          </w:tcPr>
          <w:p w:rsidR="00DF141A" w:rsidRPr="0098784F" w:rsidRDefault="00DF141A" w:rsidP="00D50A14">
            <w:pPr>
              <w:jc w:val="center"/>
            </w:pPr>
            <w:r>
              <w:t>15</w:t>
            </w:r>
          </w:p>
        </w:tc>
        <w:tc>
          <w:tcPr>
            <w:tcW w:w="1117" w:type="dxa"/>
            <w:shd w:val="clear" w:color="auto" w:fill="DDDDDD"/>
          </w:tcPr>
          <w:p w:rsidR="00DF141A" w:rsidRDefault="00DF141A" w:rsidP="00D50A14">
            <w:pPr>
              <w:jc w:val="center"/>
            </w:pPr>
            <w:r>
              <w:t>0.5</w:t>
            </w:r>
          </w:p>
        </w:tc>
        <w:tc>
          <w:tcPr>
            <w:tcW w:w="1139" w:type="dxa"/>
            <w:shd w:val="clear" w:color="auto" w:fill="DDDDDD"/>
          </w:tcPr>
          <w:p w:rsidR="00DF141A" w:rsidRDefault="00DF141A" w:rsidP="00D50A14">
            <w:pPr>
              <w:jc w:val="center"/>
            </w:pPr>
            <w:r>
              <w:t>1</w:t>
            </w:r>
          </w:p>
        </w:tc>
      </w:tr>
    </w:tbl>
    <w:p w:rsidR="00DF141A" w:rsidRDefault="00DF141A" w:rsidP="00DF141A"/>
    <w:p w:rsidR="00DF141A" w:rsidRDefault="00DF141A" w:rsidP="00DF141A">
      <w:pPr>
        <w:ind w:left="720"/>
      </w:pPr>
    </w:p>
    <w:p w:rsidR="00DF141A" w:rsidRDefault="00DF141A" w:rsidP="00DF141A">
      <w:pPr>
        <w:ind w:left="720"/>
      </w:pPr>
    </w:p>
    <w:p w:rsidR="00DF141A" w:rsidRDefault="00DF141A" w:rsidP="00DF141A">
      <w:pPr>
        <w:suppressAutoHyphens/>
        <w:ind w:left="720"/>
      </w:pPr>
    </w:p>
    <w:p w:rsidR="00DF141A" w:rsidRDefault="00DF141A" w:rsidP="00DF141A">
      <w:pPr>
        <w:suppressAutoHyphens/>
        <w:ind w:left="720"/>
      </w:pPr>
    </w:p>
    <w:p w:rsidR="00DF141A" w:rsidRDefault="00DF141A" w:rsidP="00DF141A">
      <w:pPr>
        <w:suppressAutoHyphens/>
        <w:ind w:left="720"/>
      </w:pPr>
    </w:p>
    <w:p w:rsidR="00DF141A" w:rsidRDefault="00DF141A" w:rsidP="00DF141A">
      <w:pPr>
        <w:suppressAutoHyphens/>
        <w:ind w:left="720"/>
      </w:pPr>
    </w:p>
    <w:p w:rsidR="00DF141A" w:rsidRDefault="00DF141A" w:rsidP="00DF141A">
      <w:pPr>
        <w:suppressAutoHyphens/>
        <w:ind w:left="540"/>
        <w:jc w:val="both"/>
      </w:pPr>
      <w:r>
        <w:t xml:space="preserve">Below we describe exactly how the future harvest values are calculated. If a parcel was harvested on the current landscape and is expected to be harvested on the future landscape (i.e., at some point between </w:t>
      </w:r>
      <w:r>
        <w:rPr>
          <w:noProof/>
          <w:position w:val="-24"/>
        </w:rPr>
        <w:drawing>
          <wp:inline distT="0" distB="0" distL="0" distR="0">
            <wp:extent cx="1168400" cy="39624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9"/>
                    <a:srcRect/>
                    <a:stretch>
                      <a:fillRect/>
                    </a:stretch>
                  </pic:blipFill>
                  <pic:spPr bwMode="auto">
                    <a:xfrm>
                      <a:off x="0" y="0"/>
                      <a:ext cx="1168400" cy="396240"/>
                    </a:xfrm>
                    <a:prstGeom prst="rect">
                      <a:avLst/>
                    </a:prstGeom>
                    <a:noFill/>
                    <a:ln w="9525">
                      <a:noFill/>
                      <a:miter lim="800000"/>
                      <a:headEnd/>
                      <a:tailEnd/>
                    </a:ln>
                  </pic:spPr>
                </pic:pic>
              </a:graphicData>
            </a:graphic>
          </wp:inline>
        </w:drawing>
      </w:r>
      <w:r>
        <w:t xml:space="preserve">and </w:t>
      </w:r>
      <w:r w:rsidRPr="00BC2DF0">
        <w:rPr>
          <w:i/>
        </w:rPr>
        <w:t>yr_fut</w:t>
      </w:r>
      <w:r>
        <w:t xml:space="preserve">) then the remaining HWP carbon due to harvest from parcel </w:t>
      </w:r>
      <w:r w:rsidRPr="007B3B02">
        <w:rPr>
          <w:i/>
        </w:rPr>
        <w:t>x</w:t>
      </w:r>
      <w:r>
        <w:t xml:space="preserve"> in the future year is given by:  </w:t>
      </w:r>
    </w:p>
    <w:p w:rsidR="00DF141A" w:rsidRDefault="00DF141A" w:rsidP="00DF141A">
      <w:pPr>
        <w:suppressAutoHyphens/>
        <w:ind w:left="720"/>
        <w:jc w:val="center"/>
      </w:pPr>
      <w:r>
        <w:rPr>
          <w:noProof/>
          <w:position w:val="-140"/>
        </w:rPr>
        <w:lastRenderedPageBreak/>
        <w:drawing>
          <wp:inline distT="0" distB="0" distL="0" distR="0">
            <wp:extent cx="5090160" cy="1625600"/>
            <wp:effectExtent l="2540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3"/>
                    <a:srcRect/>
                    <a:stretch>
                      <a:fillRect/>
                    </a:stretch>
                  </pic:blipFill>
                  <pic:spPr bwMode="auto">
                    <a:xfrm>
                      <a:off x="0" y="0"/>
                      <a:ext cx="5090160" cy="1625600"/>
                    </a:xfrm>
                    <a:prstGeom prst="rect">
                      <a:avLst/>
                    </a:prstGeom>
                    <a:solidFill>
                      <a:srgbClr val="FFFFFF"/>
                    </a:solidFill>
                    <a:ln w="9525">
                      <a:noFill/>
                      <a:miter lim="800000"/>
                      <a:headEnd/>
                      <a:tailEnd/>
                    </a:ln>
                  </pic:spPr>
                </pic:pic>
              </a:graphicData>
            </a:graphic>
          </wp:inline>
        </w:drawing>
      </w:r>
      <w:r>
        <w:t>(C5)</w:t>
      </w:r>
    </w:p>
    <w:p w:rsidR="00DF141A" w:rsidRDefault="00DF141A" w:rsidP="00DF141A">
      <w:pPr>
        <w:suppressAutoHyphens/>
        <w:ind w:left="540"/>
        <w:jc w:val="both"/>
      </w:pPr>
      <w:r>
        <w:t xml:space="preserve">where the function </w:t>
      </w:r>
      <w:r w:rsidRPr="004F7A83">
        <w:rPr>
          <w:i/>
        </w:rPr>
        <w:t>f</w:t>
      </w:r>
      <w:r>
        <w:t xml:space="preserve"> is as before. Recall that if (</w:t>
      </w:r>
      <w:r w:rsidRPr="0049120A">
        <w:rPr>
          <w:i/>
        </w:rPr>
        <w:t>yr_cur</w:t>
      </w:r>
      <w:r>
        <w:t xml:space="preserve"> + </w:t>
      </w:r>
      <w:r w:rsidRPr="0049120A">
        <w:rPr>
          <w:i/>
        </w:rPr>
        <w:t>yr_fut</w:t>
      </w:r>
      <w:r>
        <w:t>) / 2 results in a fraction it is rounded down. Also note that equation (</w:t>
      </w:r>
      <w:r w:rsidRPr="0049120A">
        <w:t>C5</w:t>
      </w:r>
      <w:r>
        <w:t xml:space="preserve">) does </w:t>
      </w:r>
      <w:r w:rsidRPr="00825B33">
        <w:rPr>
          <w:i/>
        </w:rPr>
        <w:t>not</w:t>
      </w:r>
      <w:r>
        <w:t xml:space="preserve"> include a harvest that is scheduled to occur in the future year; this harvest’s carbon is</w:t>
      </w:r>
      <w:r w:rsidRPr="00807B36">
        <w:rPr>
          <w:i/>
        </w:rPr>
        <w:t>in situ</w:t>
      </w:r>
      <w:r>
        <w:t xml:space="preserve"> in this accounting. Parcels that were harvested on the current landscape but are not expected to be harvested on the future landscape may still have HWP carbon in the future year. The remaining HWP carbon in </w:t>
      </w:r>
      <w:r w:rsidRPr="00481F80">
        <w:rPr>
          <w:i/>
        </w:rPr>
        <w:t>yr_fut</w:t>
      </w:r>
      <w:r>
        <w:t xml:space="preserve"> on such parcels is given by the first term of equation (C5): </w:t>
      </w:r>
    </w:p>
    <w:p w:rsidR="00DF141A" w:rsidRDefault="00DF141A" w:rsidP="00DF141A">
      <w:pPr>
        <w:suppressAutoHyphens/>
        <w:ind w:firstLine="720"/>
        <w:jc w:val="center"/>
      </w:pPr>
      <w:r>
        <w:rPr>
          <w:noProof/>
          <w:position w:val="-66"/>
        </w:rPr>
        <w:drawing>
          <wp:inline distT="0" distB="0" distL="0" distR="0">
            <wp:extent cx="4724400" cy="863600"/>
            <wp:effectExtent l="2540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4724400" cy="863600"/>
                    </a:xfrm>
                    <a:prstGeom prst="rect">
                      <a:avLst/>
                    </a:prstGeom>
                    <a:noFill/>
                    <a:ln w="9525">
                      <a:noFill/>
                      <a:miter lim="800000"/>
                      <a:headEnd/>
                      <a:tailEnd/>
                    </a:ln>
                  </pic:spPr>
                </pic:pic>
              </a:graphicData>
            </a:graphic>
          </wp:inline>
        </w:drawing>
      </w:r>
      <w:r>
        <w:tab/>
        <w:t>(C6)</w:t>
      </w:r>
    </w:p>
    <w:p w:rsidR="00DF141A" w:rsidRDefault="00DF141A" w:rsidP="00DF141A">
      <w:pPr>
        <w:autoSpaceDE w:val="0"/>
        <w:autoSpaceDN w:val="0"/>
        <w:adjustRightInd w:val="0"/>
        <w:ind w:left="540"/>
        <w:jc w:val="both"/>
      </w:pPr>
      <w:r>
        <w:t xml:space="preserve">In contrast, parcels that were </w:t>
      </w:r>
      <w:r w:rsidRPr="00825B33">
        <w:rPr>
          <w:i/>
        </w:rPr>
        <w:t>not harvested</w:t>
      </w:r>
      <w:r>
        <w:t xml:space="preserve"> on the current landscape, but are </w:t>
      </w:r>
      <w:r w:rsidRPr="00825B33">
        <w:rPr>
          <w:u w:val="single"/>
        </w:rPr>
        <w:t>expected to be harvested</w:t>
      </w:r>
      <w:r>
        <w:t xml:space="preserve"> on the future landscape, will have the following amount of carbon in the form of HWP in </w:t>
      </w:r>
      <w:r w:rsidRPr="00481F80">
        <w:rPr>
          <w:i/>
        </w:rPr>
        <w:t>yr_fut</w:t>
      </w:r>
      <w:r>
        <w:t>:</w:t>
      </w:r>
      <w:r>
        <w:tab/>
      </w:r>
    </w:p>
    <w:p w:rsidR="00DF141A" w:rsidRPr="008C74FE" w:rsidRDefault="00DF141A" w:rsidP="00DF141A">
      <w:pPr>
        <w:autoSpaceDE w:val="0"/>
        <w:autoSpaceDN w:val="0"/>
        <w:adjustRightInd w:val="0"/>
        <w:ind w:firstLine="720"/>
        <w:jc w:val="center"/>
      </w:pPr>
      <w:r>
        <w:rPr>
          <w:noProof/>
          <w:position w:val="-66"/>
        </w:rPr>
        <w:drawing>
          <wp:inline distT="0" distB="0" distL="0" distR="0">
            <wp:extent cx="4318000" cy="762000"/>
            <wp:effectExtent l="2540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5"/>
                    <a:srcRect/>
                    <a:stretch>
                      <a:fillRect/>
                    </a:stretch>
                  </pic:blipFill>
                  <pic:spPr bwMode="auto">
                    <a:xfrm>
                      <a:off x="0" y="0"/>
                      <a:ext cx="4318000" cy="762000"/>
                    </a:xfrm>
                    <a:prstGeom prst="rect">
                      <a:avLst/>
                    </a:prstGeom>
                    <a:solidFill>
                      <a:srgbClr val="FFFFFF"/>
                    </a:solidFill>
                    <a:ln w="9525">
                      <a:noFill/>
                      <a:miter lim="800000"/>
                      <a:headEnd/>
                      <a:tailEnd/>
                    </a:ln>
                  </pic:spPr>
                </pic:pic>
              </a:graphicData>
            </a:graphic>
          </wp:inline>
        </w:drawing>
      </w:r>
      <w:r>
        <w:t xml:space="preserve">    (C7)</w:t>
      </w:r>
    </w:p>
    <w:p w:rsidR="00DF141A" w:rsidRDefault="00DF141A" w:rsidP="00DF141A">
      <w:pPr>
        <w:ind w:left="540"/>
      </w:pPr>
      <w:r>
        <w:t xml:space="preserve">Note that this is the second term of equation (C5).  </w:t>
      </w:r>
    </w:p>
    <w:p w:rsidR="00DF141A" w:rsidRDefault="00DF141A" w:rsidP="00DF141A">
      <w:pPr>
        <w:ind w:left="540"/>
      </w:pPr>
    </w:p>
    <w:p w:rsidR="00DF141A" w:rsidRPr="008C74FE" w:rsidRDefault="00DF141A" w:rsidP="00DF141A">
      <w:pPr>
        <w:ind w:left="540"/>
        <w:jc w:val="both"/>
      </w:pPr>
      <w:r>
        <w:t xml:space="preserve">If </w:t>
      </w:r>
      <w:r w:rsidRPr="008C74FE">
        <w:t xml:space="preserve">a </w:t>
      </w:r>
      <w:r>
        <w:t xml:space="preserve">parcel </w:t>
      </w:r>
      <w:r w:rsidRPr="008C74FE">
        <w:t xml:space="preserve">was harvested on the current landscape and is </w:t>
      </w:r>
      <w:r w:rsidRPr="00825B33">
        <w:rPr>
          <w:u w:val="single"/>
        </w:rPr>
        <w:t>expected to be harvested</w:t>
      </w:r>
      <w:r w:rsidRPr="008C74FE">
        <w:t xml:space="preserve"> on the future landscape</w:t>
      </w:r>
      <w:r>
        <w:t>,</w:t>
      </w:r>
      <w:r w:rsidRPr="008C74FE">
        <w:t xml:space="preserve"> the </w:t>
      </w:r>
      <w:r w:rsidRPr="00825B33">
        <w:t>mass of harvested wood</w:t>
      </w:r>
      <w:r w:rsidRPr="008C74FE">
        <w:t xml:space="preserve"> that has been </w:t>
      </w:r>
      <w:r w:rsidRPr="00825B33">
        <w:rPr>
          <w:u w:val="single"/>
        </w:rPr>
        <w:t>removed</w:t>
      </w:r>
      <w:r w:rsidRPr="008C74FE">
        <w:t xml:space="preserve"> from a</w:t>
      </w:r>
      <w:r>
        <w:t xml:space="preserve"> parcel </w:t>
      </w:r>
      <w:r w:rsidRPr="008C74FE">
        <w:t xml:space="preserve">from </w:t>
      </w:r>
      <w:r w:rsidRPr="0049120A">
        <w:rPr>
          <w:i/>
        </w:rPr>
        <w:t>St</w:t>
      </w:r>
      <w:r>
        <w:rPr>
          <w:i/>
        </w:rPr>
        <w:t>art</w:t>
      </w:r>
      <w:r w:rsidRPr="0049120A">
        <w:rPr>
          <w:i/>
        </w:rPr>
        <w:t>_date</w:t>
      </w:r>
      <w:r w:rsidRPr="008C74FE">
        <w:t xml:space="preserve"> to </w:t>
      </w:r>
      <w:r w:rsidRPr="0049120A">
        <w:rPr>
          <w:i/>
        </w:rPr>
        <w:t>yr_fut</w:t>
      </w:r>
      <w:r>
        <w:t xml:space="preserve"> is given by:</w:t>
      </w:r>
    </w:p>
    <w:p w:rsidR="00DF141A" w:rsidRDefault="00DF141A" w:rsidP="00DF141A">
      <w:pPr>
        <w:ind w:left="900"/>
      </w:pPr>
      <w:r>
        <w:rPr>
          <w:noProof/>
          <w:position w:val="-128"/>
        </w:rPr>
        <w:drawing>
          <wp:inline distT="0" distB="0" distL="0" distR="0">
            <wp:extent cx="4480560" cy="1361440"/>
            <wp:effectExtent l="2540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6"/>
                    <a:srcRect/>
                    <a:stretch>
                      <a:fillRect/>
                    </a:stretch>
                  </pic:blipFill>
                  <pic:spPr bwMode="auto">
                    <a:xfrm>
                      <a:off x="0" y="0"/>
                      <a:ext cx="4480560" cy="1361440"/>
                    </a:xfrm>
                    <a:prstGeom prst="rect">
                      <a:avLst/>
                    </a:prstGeom>
                    <a:solidFill>
                      <a:srgbClr val="FFFFFF"/>
                    </a:solidFill>
                    <a:ln w="9525">
                      <a:noFill/>
                      <a:miter lim="800000"/>
                      <a:headEnd/>
                      <a:tailEnd/>
                    </a:ln>
                  </pic:spPr>
                </pic:pic>
              </a:graphicData>
            </a:graphic>
          </wp:inline>
        </w:drawing>
      </w:r>
      <w:r>
        <w:t xml:space="preserve"> (C8)</w:t>
      </w:r>
    </w:p>
    <w:p w:rsidR="00DF141A" w:rsidRPr="008C74FE" w:rsidRDefault="00DF141A" w:rsidP="00DF141A">
      <w:pPr>
        <w:ind w:left="540"/>
      </w:pPr>
      <w:r>
        <w:t>However, forparcels</w:t>
      </w:r>
      <w:r w:rsidRPr="008C74FE">
        <w:t xml:space="preserve"> that were harvested on the </w:t>
      </w:r>
      <w:r w:rsidRPr="00825B33">
        <w:rPr>
          <w:u w:val="single"/>
        </w:rPr>
        <w:t>current</w:t>
      </w:r>
      <w:r w:rsidRPr="008C74FE">
        <w:t xml:space="preserve"> landscape</w:t>
      </w:r>
      <w:r>
        <w:t>,</w:t>
      </w:r>
      <w:r w:rsidRPr="008C74FE">
        <w:t xml:space="preserve"> but are </w:t>
      </w:r>
      <w:r w:rsidRPr="00825B33">
        <w:rPr>
          <w:i/>
        </w:rPr>
        <w:t>not</w:t>
      </w:r>
      <w:r w:rsidRPr="008C74FE">
        <w:t xml:space="preserve"> expected to be harvested on the future landscape</w:t>
      </w:r>
      <w:r>
        <w:t>,</w:t>
      </w:r>
      <w:r w:rsidRPr="008C74FE">
        <w:t xml:space="preserve"> the mass of </w:t>
      </w:r>
      <w:r>
        <w:t>wood</w:t>
      </w:r>
      <w:r w:rsidRPr="008C74FE">
        <w:t xml:space="preserve"> removed from a </w:t>
      </w:r>
      <w:r>
        <w:t xml:space="preserve">parcel </w:t>
      </w:r>
      <w:r w:rsidRPr="008C74FE">
        <w:t xml:space="preserve">from </w:t>
      </w:r>
      <w:r w:rsidRPr="00481F80">
        <w:rPr>
          <w:i/>
        </w:rPr>
        <w:t>St</w:t>
      </w:r>
      <w:r>
        <w:rPr>
          <w:i/>
        </w:rPr>
        <w:t>art</w:t>
      </w:r>
      <w:r w:rsidRPr="00481F80">
        <w:rPr>
          <w:i/>
        </w:rPr>
        <w:t>_date</w:t>
      </w:r>
      <w:r w:rsidRPr="008C74FE">
        <w:t xml:space="preserve"> to </w:t>
      </w:r>
      <w:r w:rsidRPr="00481F80">
        <w:rPr>
          <w:i/>
        </w:rPr>
        <w:t>yr_fut</w:t>
      </w:r>
      <w:r w:rsidRPr="008C74FE">
        <w:t xml:space="preserve"> is given by</w:t>
      </w:r>
      <w:r>
        <w:t xml:space="preserve"> the first term of equation (C8):</w:t>
      </w:r>
    </w:p>
    <w:p w:rsidR="00DF141A" w:rsidRPr="008C74FE" w:rsidRDefault="00DF141A" w:rsidP="00DF141A">
      <w:pPr>
        <w:ind w:firstLine="720"/>
        <w:jc w:val="both"/>
      </w:pPr>
      <w:r>
        <w:rPr>
          <w:noProof/>
          <w:position w:val="-54"/>
        </w:rPr>
        <w:lastRenderedPageBreak/>
        <w:drawing>
          <wp:inline distT="0" distB="0" distL="0" distR="0">
            <wp:extent cx="4368800" cy="650240"/>
            <wp:effectExtent l="2540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7"/>
                    <a:srcRect/>
                    <a:stretch>
                      <a:fillRect/>
                    </a:stretch>
                  </pic:blipFill>
                  <pic:spPr bwMode="auto">
                    <a:xfrm>
                      <a:off x="0" y="0"/>
                      <a:ext cx="4368800" cy="650240"/>
                    </a:xfrm>
                    <a:prstGeom prst="rect">
                      <a:avLst/>
                    </a:prstGeom>
                    <a:solidFill>
                      <a:srgbClr val="FFFFFF"/>
                    </a:solidFill>
                    <a:ln w="9525">
                      <a:noFill/>
                      <a:miter lim="800000"/>
                      <a:headEnd/>
                      <a:tailEnd/>
                    </a:ln>
                  </pic:spPr>
                </pic:pic>
              </a:graphicData>
            </a:graphic>
          </wp:inline>
        </w:drawing>
      </w:r>
      <w:r>
        <w:tab/>
        <w:t>(C9)</w:t>
      </w:r>
    </w:p>
    <w:p w:rsidR="00DF141A" w:rsidRDefault="00DF141A" w:rsidP="00DF141A">
      <w:pPr>
        <w:ind w:left="540"/>
        <w:jc w:val="both"/>
      </w:pPr>
      <w:r>
        <w:t xml:space="preserve">For parcels </w:t>
      </w:r>
      <w:r w:rsidRPr="008C74FE">
        <w:t xml:space="preserve">that were </w:t>
      </w:r>
      <w:r w:rsidRPr="00825B33">
        <w:rPr>
          <w:i/>
        </w:rPr>
        <w:t>not</w:t>
      </w:r>
      <w:r w:rsidRPr="008C74FE">
        <w:t xml:space="preserve"> harvested on the current landscape but </w:t>
      </w:r>
      <w:r w:rsidRPr="00825B33">
        <w:rPr>
          <w:u w:val="single"/>
        </w:rPr>
        <w:t>are expected to be harvested</w:t>
      </w:r>
      <w:r w:rsidRPr="008C74FE">
        <w:t xml:space="preserve"> on the future landscape</w:t>
      </w:r>
      <w:r>
        <w:t xml:space="preserve">, the </w:t>
      </w:r>
      <w:r w:rsidRPr="008C74FE">
        <w:t>mass of wood removed from a p</w:t>
      </w:r>
      <w:r>
        <w:t>arcel</w:t>
      </w:r>
      <w:r w:rsidRPr="008C74FE">
        <w:t xml:space="preserve"> from </w:t>
      </w:r>
      <w:r w:rsidRPr="00481F80">
        <w:rPr>
          <w:i/>
        </w:rPr>
        <w:t>St</w:t>
      </w:r>
      <w:r>
        <w:rPr>
          <w:i/>
        </w:rPr>
        <w:t>art</w:t>
      </w:r>
      <w:r w:rsidRPr="00481F80">
        <w:rPr>
          <w:i/>
        </w:rPr>
        <w:t>_date</w:t>
      </w:r>
      <w:r w:rsidRPr="008C74FE">
        <w:t xml:space="preserve"> to</w:t>
      </w:r>
      <w:r w:rsidRPr="00481F80">
        <w:rPr>
          <w:i/>
        </w:rPr>
        <w:t>yr_fut</w:t>
      </w:r>
      <w:r w:rsidRPr="008C74FE">
        <w:t>is given by</w:t>
      </w:r>
      <w:r>
        <w:t xml:space="preserve"> second term of equation (C8):</w:t>
      </w:r>
    </w:p>
    <w:p w:rsidR="00DF141A" w:rsidRDefault="00DF141A" w:rsidP="00DF141A">
      <w:pPr>
        <w:jc w:val="both"/>
      </w:pPr>
      <w:r>
        <w:rPr>
          <w:noProof/>
          <w:position w:val="-54"/>
        </w:rPr>
        <w:drawing>
          <wp:inline distT="0" distB="0" distL="0" distR="0">
            <wp:extent cx="4358640" cy="701040"/>
            <wp:effectExtent l="25400" t="0" r="1016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8"/>
                    <a:srcRect/>
                    <a:stretch>
                      <a:fillRect/>
                    </a:stretch>
                  </pic:blipFill>
                  <pic:spPr bwMode="auto">
                    <a:xfrm>
                      <a:off x="0" y="0"/>
                      <a:ext cx="4358640" cy="701040"/>
                    </a:xfrm>
                    <a:prstGeom prst="rect">
                      <a:avLst/>
                    </a:prstGeom>
                    <a:solidFill>
                      <a:srgbClr val="FFFFFF"/>
                    </a:solidFill>
                    <a:ln w="9525">
                      <a:noFill/>
                      <a:miter lim="800000"/>
                      <a:headEnd/>
                      <a:tailEnd/>
                    </a:ln>
                  </pic:spPr>
                </pic:pic>
              </a:graphicData>
            </a:graphic>
          </wp:inline>
        </w:drawing>
      </w:r>
      <w:r>
        <w:tab/>
        <w:t>(C10)</w:t>
      </w:r>
    </w:p>
    <w:p w:rsidR="00DF141A" w:rsidRDefault="00DF141A" w:rsidP="00DF141A">
      <w:pPr>
        <w:ind w:left="540"/>
        <w:jc w:val="both"/>
      </w:pPr>
      <w:r>
        <w:t xml:space="preserve">Finally, The volume of the </w:t>
      </w:r>
      <w:r w:rsidRPr="008C74FE">
        <w:t xml:space="preserve">of wood that has been removed from a </w:t>
      </w:r>
      <w:r>
        <w:t>parcel</w:t>
      </w:r>
      <w:r w:rsidRPr="008C74FE">
        <w:t xml:space="preserve"> from </w:t>
      </w:r>
      <w:r w:rsidRPr="00481F80">
        <w:rPr>
          <w:i/>
        </w:rPr>
        <w:t>St</w:t>
      </w:r>
      <w:r>
        <w:rPr>
          <w:i/>
        </w:rPr>
        <w:t>art</w:t>
      </w:r>
      <w:r w:rsidRPr="00481F80">
        <w:rPr>
          <w:i/>
        </w:rPr>
        <w:t>_date</w:t>
      </w:r>
      <w:r w:rsidRPr="008C74FE">
        <w:t xml:space="preserve"> to </w:t>
      </w:r>
      <w:r w:rsidRPr="00481F80">
        <w:rPr>
          <w:i/>
        </w:rPr>
        <w:t>yr_fut</w:t>
      </w:r>
      <w:r>
        <w:t xml:space="preserve"> i</w:t>
      </w:r>
      <w:r w:rsidRPr="008C74FE">
        <w:t>s given by</w:t>
      </w:r>
      <w:r>
        <w:t>:</w:t>
      </w:r>
    </w:p>
    <w:p w:rsidR="00DF141A" w:rsidRDefault="00DF141A" w:rsidP="00DF141A">
      <w:pPr>
        <w:jc w:val="both"/>
      </w:pPr>
    </w:p>
    <w:p w:rsidR="00DF141A" w:rsidRDefault="00DF141A" w:rsidP="00DF141A">
      <w:pPr>
        <w:jc w:val="center"/>
      </w:pPr>
      <w:r>
        <w:rPr>
          <w:noProof/>
          <w:position w:val="-118"/>
        </w:rPr>
        <w:drawing>
          <wp:inline distT="0" distB="0" distL="0" distR="0">
            <wp:extent cx="4114800" cy="1056640"/>
            <wp:effectExtent l="2540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9"/>
                    <a:srcRect/>
                    <a:stretch>
                      <a:fillRect/>
                    </a:stretch>
                  </pic:blipFill>
                  <pic:spPr bwMode="auto">
                    <a:xfrm>
                      <a:off x="0" y="0"/>
                      <a:ext cx="4114800" cy="1056640"/>
                    </a:xfrm>
                    <a:prstGeom prst="rect">
                      <a:avLst/>
                    </a:prstGeom>
                    <a:solidFill>
                      <a:srgbClr val="FFFFFF"/>
                    </a:solidFill>
                    <a:ln w="9525">
                      <a:noFill/>
                      <a:miter lim="800000"/>
                      <a:headEnd/>
                      <a:tailEnd/>
                    </a:ln>
                  </pic:spPr>
                </pic:pic>
              </a:graphicData>
            </a:graphic>
          </wp:inline>
        </w:drawing>
      </w:r>
      <w:r>
        <w:tab/>
        <w:t>,</w:t>
      </w:r>
      <w:r>
        <w:tab/>
        <w:t>(C11)</w:t>
      </w:r>
    </w:p>
    <w:p w:rsidR="00DF141A" w:rsidRPr="008C74FE" w:rsidRDefault="00DF141A" w:rsidP="00DF141A"/>
    <w:p w:rsidR="00DF141A" w:rsidRDefault="00DF141A" w:rsidP="00DF141A">
      <w:pPr>
        <w:suppressAutoHyphens/>
        <w:jc w:val="center"/>
      </w:pPr>
      <w:r>
        <w:rPr>
          <w:noProof/>
          <w:position w:val="-58"/>
        </w:rPr>
        <w:drawing>
          <wp:inline distT="0" distB="0" distL="0" distR="0">
            <wp:extent cx="4124960" cy="518160"/>
            <wp:effectExtent l="2540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0"/>
                    <a:srcRect/>
                    <a:stretch>
                      <a:fillRect/>
                    </a:stretch>
                  </pic:blipFill>
                  <pic:spPr bwMode="auto">
                    <a:xfrm>
                      <a:off x="0" y="0"/>
                      <a:ext cx="4124960" cy="518160"/>
                    </a:xfrm>
                    <a:prstGeom prst="rect">
                      <a:avLst/>
                    </a:prstGeom>
                    <a:solidFill>
                      <a:srgbClr val="FFFFFF"/>
                    </a:solidFill>
                    <a:ln w="9525">
                      <a:noFill/>
                      <a:miter lim="800000"/>
                      <a:headEnd/>
                      <a:tailEnd/>
                    </a:ln>
                  </pic:spPr>
                </pic:pic>
              </a:graphicData>
            </a:graphic>
          </wp:inline>
        </w:drawing>
      </w:r>
      <w:r>
        <w:t>,</w:t>
      </w:r>
      <w:r>
        <w:tab/>
      </w:r>
      <w:r>
        <w:tab/>
        <w:t>(C12)</w:t>
      </w:r>
    </w:p>
    <w:p w:rsidR="00DF141A" w:rsidRDefault="00DF141A" w:rsidP="00DF141A">
      <w:pPr>
        <w:suppressAutoHyphens/>
        <w:ind w:firstLine="720"/>
        <w:jc w:val="center"/>
      </w:pPr>
      <w:r>
        <w:t xml:space="preserve">or      </w:t>
      </w:r>
      <w:r>
        <w:rPr>
          <w:noProof/>
          <w:position w:val="-60"/>
        </w:rPr>
        <w:drawing>
          <wp:inline distT="0" distB="0" distL="0" distR="0">
            <wp:extent cx="4003040" cy="548640"/>
            <wp:effectExtent l="25400" t="0" r="1016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
                    <a:srcRect/>
                    <a:stretch>
                      <a:fillRect/>
                    </a:stretch>
                  </pic:blipFill>
                  <pic:spPr bwMode="auto">
                    <a:xfrm>
                      <a:off x="0" y="0"/>
                      <a:ext cx="4003040" cy="548640"/>
                    </a:xfrm>
                    <a:prstGeom prst="rect">
                      <a:avLst/>
                    </a:prstGeom>
                    <a:solidFill>
                      <a:srgbClr val="FFFFFF"/>
                    </a:solidFill>
                    <a:ln w="9525">
                      <a:noFill/>
                      <a:miter lim="800000"/>
                      <a:headEnd/>
                      <a:tailEnd/>
                    </a:ln>
                  </pic:spPr>
                </pic:pic>
              </a:graphicData>
            </a:graphic>
          </wp:inline>
        </w:drawing>
      </w:r>
      <w:r>
        <w:t>,</w:t>
      </w:r>
      <w:r>
        <w:tab/>
      </w:r>
      <w:r>
        <w:tab/>
        <w:t>(C13)</w:t>
      </w:r>
    </w:p>
    <w:p w:rsidR="00DF141A" w:rsidRDefault="00DF141A" w:rsidP="00DF141A">
      <w:pPr>
        <w:suppressAutoHyphens/>
        <w:ind w:firstLine="720"/>
      </w:pPr>
      <w:r>
        <w:t>depending on the combination of current and future harvests (see above).</w:t>
      </w:r>
    </w:p>
    <w:p w:rsidR="00DF141A" w:rsidRDefault="00DF141A" w:rsidP="00DF141A">
      <w:pPr>
        <w:suppressAutoHyphens/>
        <w:ind w:firstLine="720"/>
      </w:pPr>
      <w:r>
        <w:tab/>
      </w:r>
    </w:p>
    <w:p w:rsidR="00DF141A" w:rsidRDefault="00DF141A" w:rsidP="00DF141A">
      <w:pPr>
        <w:ind w:left="720"/>
        <w:jc w:val="both"/>
      </w:pPr>
      <w:r w:rsidRPr="00A65AC5">
        <w:t>W</w:t>
      </w:r>
      <w:r>
        <w:t xml:space="preserve">e recommend that the modeler use </w:t>
      </w:r>
      <w:r w:rsidRPr="006F2369">
        <w:rPr>
          <w:i/>
        </w:rPr>
        <w:t>Bio_HWP_cur</w:t>
      </w:r>
      <w:r>
        <w:t xml:space="preserve"> and </w:t>
      </w:r>
      <w:r w:rsidRPr="006F2369">
        <w:rPr>
          <w:i/>
        </w:rPr>
        <w:t>Bio_HWP_fut</w:t>
      </w:r>
      <w:r>
        <w:t xml:space="preserve"> to refine the current and future LULC maps. Specifically, if </w:t>
      </w:r>
      <w:r w:rsidRPr="006F2369">
        <w:rPr>
          <w:i/>
        </w:rPr>
        <w:t>Bio_HWP_cur</w:t>
      </w:r>
      <w:r>
        <w:t xml:space="preserve"> or </w:t>
      </w:r>
      <w:r w:rsidRPr="006F2369">
        <w:rPr>
          <w:i/>
        </w:rPr>
        <w:t>Bio_HWP_fut</w:t>
      </w:r>
      <w:r>
        <w:t xml:space="preserve"> on a portion of the landscape are significant, then the modeler should assess whether the LULC types associated with that portion of the current or future landscape accurately reflect the biomass remaining on the landscape. For example, if the current LULC type on a portion of the landscape that has been heavily harvested in the immediate past is “closed conifer” it may be more appropriate to reclassify it as “thinned conifer” or “open conifer” on the LULC map. </w:t>
      </w:r>
    </w:p>
    <w:p w:rsidR="00DF141A" w:rsidRDefault="00DF141A" w:rsidP="00DF141A">
      <w:pPr>
        <w:jc w:val="both"/>
      </w:pPr>
    </w:p>
    <w:p w:rsidR="00DF141A" w:rsidRDefault="00DF141A" w:rsidP="00DF141A">
      <w:pPr>
        <w:numPr>
          <w:ilvl w:val="0"/>
          <w:numId w:val="1"/>
        </w:numPr>
        <w:suppressAutoHyphens/>
        <w:jc w:val="both"/>
      </w:pPr>
      <w:r>
        <w:rPr>
          <w:b/>
        </w:rPr>
        <w:t>Economic data (optional – required for valuation)</w:t>
      </w:r>
      <w:r>
        <w:t>. Three numbers are not supplied in a table, but instead are input directly through the tool interface.</w:t>
      </w:r>
    </w:p>
    <w:p w:rsidR="00DF141A" w:rsidRPr="0038523B" w:rsidRDefault="00DF141A" w:rsidP="00DF141A">
      <w:pPr>
        <w:suppressAutoHyphens/>
        <w:ind w:left="748"/>
        <w:jc w:val="both"/>
        <w:rPr>
          <w:sz w:val="4"/>
        </w:rPr>
      </w:pPr>
    </w:p>
    <w:p w:rsidR="00DF141A" w:rsidRDefault="00DF141A" w:rsidP="00DF141A">
      <w:pPr>
        <w:numPr>
          <w:ilvl w:val="1"/>
          <w:numId w:val="1"/>
        </w:numPr>
        <w:tabs>
          <w:tab w:val="left" w:pos="1440"/>
        </w:tabs>
        <w:suppressAutoHyphens/>
        <w:jc w:val="both"/>
      </w:pPr>
      <w:r>
        <w:t xml:space="preserve">The </w:t>
      </w:r>
      <w:r w:rsidRPr="00CE4E05">
        <w:rPr>
          <w:b/>
        </w:rPr>
        <w:t>value of a sequestered ton of carbon</w:t>
      </w:r>
      <w:r w:rsidRPr="002A7C6B">
        <w:t>(</w:t>
      </w:r>
      <w:r w:rsidRPr="002A7C6B">
        <w:rPr>
          <w:i/>
        </w:rPr>
        <w:t>V</w:t>
      </w:r>
      <w:r w:rsidRPr="002A7C6B">
        <w:t xml:space="preserve"> in the equation below),</w:t>
      </w:r>
      <w:r>
        <w:t xml:space="preserve"> in dollars per metric ton of elemental carbon (not CO</w:t>
      </w:r>
      <w:r>
        <w:rPr>
          <w:vertAlign w:val="subscript"/>
        </w:rPr>
        <w:t>2</w:t>
      </w:r>
      <w:r>
        <w:t>, which is heavier, so be careful to get units right! If the social value of CO</w:t>
      </w:r>
      <w:r>
        <w:rPr>
          <w:vertAlign w:val="subscript"/>
        </w:rPr>
        <w:t>2</w:t>
      </w:r>
      <w:r>
        <w:t xml:space="preserve">e is $Y per metric ton, then the social value of C is $(3.67*Y) per metric ton (Labeled “Price of carbon per metric ton (optional)” in the tool interface.) For applications interested in estimating the total value of carbon sequestration, we recommend value estimates based of damage costs associated </w:t>
      </w:r>
      <w:r>
        <w:lastRenderedPageBreak/>
        <w:t>with the release of an additional ton of carbon (the social cost of carbon (SCC).  Stern (2007), Tol (2009), and Nordhaus (2007a) present estimates of SCC.  For example, two SCC estimates we have used from Tol (2009) are $66 and $130 (in 2010 US dollars) (Polasky et al. 2010). For applications interested in estimating the value that could be gained by trading carbon credits in the current markets, the value can be taken from the current market prices on the Chicago or European Climate Exchanges.</w:t>
      </w:r>
    </w:p>
    <w:p w:rsidR="00DF141A" w:rsidRPr="0038523B" w:rsidRDefault="00DF141A" w:rsidP="00DF141A">
      <w:pPr>
        <w:tabs>
          <w:tab w:val="left" w:pos="1440"/>
        </w:tabs>
        <w:suppressAutoHyphens/>
        <w:ind w:left="1440"/>
        <w:jc w:val="both"/>
        <w:rPr>
          <w:sz w:val="4"/>
        </w:rPr>
      </w:pPr>
    </w:p>
    <w:p w:rsidR="00DF141A" w:rsidRDefault="00DF141A" w:rsidP="00DF141A">
      <w:pPr>
        <w:numPr>
          <w:ilvl w:val="1"/>
          <w:numId w:val="1"/>
        </w:numPr>
        <w:tabs>
          <w:tab w:val="left" w:pos="1440"/>
        </w:tabs>
        <w:suppressAutoHyphens/>
        <w:jc w:val="both"/>
      </w:pPr>
      <w:r>
        <w:t xml:space="preserve">The </w:t>
      </w:r>
      <w:r w:rsidRPr="00CE4E05">
        <w:rPr>
          <w:b/>
        </w:rPr>
        <w:t>market discount rate</w:t>
      </w:r>
      <w:r>
        <w:t xml:space="preserve"> (</w:t>
      </w:r>
      <w:r w:rsidRPr="00807B36">
        <w:rPr>
          <w:i/>
        </w:rPr>
        <w:t>r</w:t>
      </w:r>
      <w:r>
        <w:t xml:space="preserve"> in the equation below)</w:t>
      </w:r>
      <w:r w:rsidRPr="00327BF4">
        <w:t>, which reflects society’s preference for immediate</w:t>
      </w:r>
      <w:r>
        <w:t xml:space="preserve"> benefits over future benefits (labeled “Market discount rate (%) (optional)” in the tool interface).</w:t>
      </w:r>
      <w:r w:rsidRPr="00327BF4">
        <w:t xml:space="preserve"> The default value </w:t>
      </w:r>
      <w:r>
        <w:t xml:space="preserve">in the interface </w:t>
      </w:r>
      <w:r w:rsidRPr="00327BF4">
        <w:t>is</w:t>
      </w:r>
      <w:r>
        <w:t xml:space="preserve"> 7%</w:t>
      </w:r>
      <w:r w:rsidRPr="00327BF4">
        <w:t xml:space="preserve"> per year, which is </w:t>
      </w:r>
      <w:r>
        <w:t xml:space="preserve">one of the market discount </w:t>
      </w:r>
      <w:r w:rsidRPr="00327BF4">
        <w:t>rate</w:t>
      </w:r>
      <w:r>
        <w:t>s</w:t>
      </w:r>
      <w:r w:rsidRPr="00327BF4">
        <w:t xml:space="preserve"> recommended by the U.S. government for </w:t>
      </w:r>
      <w:r>
        <w:t xml:space="preserve">cost-benefit </w:t>
      </w:r>
      <w:r w:rsidRPr="00327BF4">
        <w:t>evaluation of environmental projects. However, this rate will depend on the country and landscape being evaluated. Philosophical arguments have been made for using a lower discount rate when modeling clima</w:t>
      </w:r>
      <w:r>
        <w:t xml:space="preserve">te change related dynamics, which </w:t>
      </w:r>
      <w:r w:rsidRPr="00327BF4">
        <w:t>u</w:t>
      </w:r>
      <w:r>
        <w:t xml:space="preserve">sers may consider using. If the rate is set equal to 0% then monetary values are </w:t>
      </w:r>
      <w:r w:rsidRPr="003B319C">
        <w:rPr>
          <w:i/>
        </w:rPr>
        <w:t>not discounted</w:t>
      </w:r>
      <w:r>
        <w:t>.</w:t>
      </w:r>
    </w:p>
    <w:p w:rsidR="00DF141A" w:rsidRPr="0038523B" w:rsidRDefault="00DF141A" w:rsidP="00DF141A">
      <w:pPr>
        <w:tabs>
          <w:tab w:val="left" w:pos="1440"/>
        </w:tabs>
        <w:suppressAutoHyphens/>
        <w:ind w:left="1440"/>
        <w:jc w:val="both"/>
        <w:rPr>
          <w:sz w:val="4"/>
        </w:rPr>
      </w:pPr>
    </w:p>
    <w:p w:rsidR="00DF141A" w:rsidRDefault="00DF141A" w:rsidP="00DF141A">
      <w:pPr>
        <w:numPr>
          <w:ilvl w:val="1"/>
          <w:numId w:val="1"/>
        </w:numPr>
        <w:tabs>
          <w:tab w:val="left" w:pos="1440"/>
        </w:tabs>
        <w:suppressAutoHyphens/>
        <w:jc w:val="both"/>
      </w:pPr>
      <w:r>
        <w:t xml:space="preserve">The </w:t>
      </w:r>
      <w:r w:rsidRPr="00CE4E05">
        <w:rPr>
          <w:b/>
        </w:rPr>
        <w:t>annual rate of change in the price of carbon</w:t>
      </w:r>
      <w:r>
        <w:t xml:space="preserve"> (</w:t>
      </w:r>
      <w:r w:rsidRPr="00807B36">
        <w:rPr>
          <w:i/>
        </w:rPr>
        <w:t>c</w:t>
      </w:r>
      <w:r>
        <w:t xml:space="preserve"> in the equation below), which adjusts the value of sequestered carbon as the impact of emissions on expected climate change-related damages changes over time. The </w:t>
      </w:r>
      <w:r w:rsidRPr="007D0EA9">
        <w:t xml:space="preserve">default value </w:t>
      </w:r>
      <w:r>
        <w:t xml:space="preserve">in the interface </w:t>
      </w:r>
      <w:r w:rsidRPr="007D0EA9">
        <w:t>is 0%</w:t>
      </w:r>
      <w:r>
        <w:t xml:space="preserve"> (labeled “The a</w:t>
      </w:r>
      <w:r w:rsidRPr="00EB41D5">
        <w:t>nnual rate of change in the price of carbon</w:t>
      </w:r>
      <w:r>
        <w:t xml:space="preserve"> (%) (optional)” in the tool interface). </w:t>
      </w:r>
      <w:r w:rsidRPr="007D0EA9">
        <w:t xml:space="preserve">However, </w:t>
      </w:r>
      <w:r>
        <w:t xml:space="preserve">settingthis rate </w:t>
      </w:r>
      <w:r w:rsidRPr="007D0EA9">
        <w:t xml:space="preserve">greater than 0% </w:t>
      </w:r>
      <w:r>
        <w:t>suggests</w:t>
      </w:r>
      <w:r w:rsidRPr="007D0EA9">
        <w:t xml:space="preserve"> that the societal value of carbon sequestered in the future is </w:t>
      </w:r>
      <w:r w:rsidRPr="0038523B">
        <w:rPr>
          <w:i/>
        </w:rPr>
        <w:t>less</w:t>
      </w:r>
      <w:r w:rsidRPr="007D0EA9">
        <w:t xml:space="preserve"> than the va</w:t>
      </w:r>
      <w:r>
        <w:t xml:space="preserve">lue of carbon sequestered now. </w:t>
      </w:r>
      <w:r w:rsidRPr="007D0EA9">
        <w:t xml:space="preserve">It has been widely argued that GHG emissions need to be curtailed </w:t>
      </w:r>
      <w:r w:rsidRPr="00733DDC">
        <w:rPr>
          <w:i/>
        </w:rPr>
        <w:t>immediately</w:t>
      </w:r>
      <w:r w:rsidRPr="007D0EA9">
        <w:t xml:space="preserve"> to avoid crossing a GHG atmospheric concentration threshold that would lead to a 3 degree Celsius or greater change in glob</w:t>
      </w:r>
      <w:r>
        <w:t>al average temperature by 2105.S</w:t>
      </w:r>
      <w:r w:rsidRPr="007D0EA9">
        <w:t xml:space="preserve">ome </w:t>
      </w:r>
      <w:r>
        <w:t xml:space="preserve">argue </w:t>
      </w:r>
      <w:r w:rsidRPr="007D0EA9">
        <w:t xml:space="preserve">that such a temperature change would lead to major disruptions in economies across </w:t>
      </w:r>
      <w:r>
        <w:t xml:space="preserve">the world (Stern et al. 2006). </w:t>
      </w:r>
      <w:r w:rsidRPr="007D0EA9">
        <w:t xml:space="preserve">Therefore, any mitigation in GHG emissions that occurs </w:t>
      </w:r>
      <w:r w:rsidRPr="0038523B">
        <w:rPr>
          <w:i/>
        </w:rPr>
        <w:t>many years from now</w:t>
      </w:r>
      <w:r w:rsidRPr="007D0EA9">
        <w:t xml:space="preserve"> may have </w:t>
      </w:r>
      <w:r w:rsidRPr="0038523B">
        <w:rPr>
          <w:i/>
        </w:rPr>
        <w:t>no effect</w:t>
      </w:r>
      <w:r w:rsidRPr="007D0EA9">
        <w:t xml:space="preserve"> on whether or not this crucial conc</w:t>
      </w:r>
      <w:r>
        <w:t xml:space="preserve">entration threshold is passed. </w:t>
      </w:r>
      <w:r w:rsidRPr="007D0EA9">
        <w:t xml:space="preserve">If this is the case, C sequestration in the far future would be relatively worthless and a carbon discount rate </w:t>
      </w:r>
      <w:r w:rsidRPr="00733DDC">
        <w:rPr>
          <w:i/>
        </w:rPr>
        <w:t>greater</w:t>
      </w:r>
      <w:r w:rsidRPr="007D0EA9">
        <w:t xml:space="preserve"> than zero is warranted</w:t>
      </w:r>
      <w:r>
        <w:t xml:space="preserve">. Alternatively, setting the annual rate of change </w:t>
      </w:r>
      <w:r w:rsidRPr="00733DDC">
        <w:rPr>
          <w:i/>
        </w:rPr>
        <w:t>less</w:t>
      </w:r>
      <w:r>
        <w:t xml:space="preserve"> than 0% (e.g., -2%) </w:t>
      </w:r>
      <w:r w:rsidRPr="007D0EA9">
        <w:t>suggest</w:t>
      </w:r>
      <w:r>
        <w:t>s</w:t>
      </w:r>
      <w:r w:rsidRPr="007D0EA9">
        <w:t xml:space="preserve"> that the societal value of carbon</w:t>
      </w:r>
      <w:r>
        <w:t xml:space="preserve"> sequestered in the future is </w:t>
      </w:r>
      <w:r w:rsidRPr="0038523B">
        <w:rPr>
          <w:i/>
        </w:rPr>
        <w:t>greater</w:t>
      </w:r>
      <w:r>
        <w:t xml:space="preserve"> than</w:t>
      </w:r>
      <w:r w:rsidRPr="007D0EA9">
        <w:t xml:space="preserve"> the value of carbon sequestered now</w:t>
      </w:r>
      <w:r>
        <w:t xml:space="preserve"> (this is a separate issue than the value of money in the future, a dynamic accounted for with the market discount rate). This may be the case if the damages associated with climate change in the future accelerate as the concentration of GHGs in the atmosphere increases. </w:t>
      </w:r>
    </w:p>
    <w:p w:rsidR="00DF141A" w:rsidRDefault="00DF141A" w:rsidP="00DF141A"/>
    <w:p w:rsidR="00DF141A" w:rsidRDefault="00DF141A" w:rsidP="00DF141A">
      <w:r>
        <w:tab/>
      </w:r>
    </w:p>
    <w:p w:rsidR="00DF141A" w:rsidRDefault="00DF141A" w:rsidP="00DF141A">
      <w:r>
        <w:t xml:space="preserve">The </w:t>
      </w:r>
      <w:r w:rsidRPr="007E54F3">
        <w:rPr>
          <w:b/>
        </w:rPr>
        <w:t>value of carbon sequestration over time</w:t>
      </w:r>
      <w:r>
        <w:t xml:space="preserve"> is given by:</w:t>
      </w:r>
    </w:p>
    <w:p w:rsidR="00DF141A" w:rsidRPr="008C74FE" w:rsidRDefault="00DF141A" w:rsidP="00DF141A">
      <w:pPr>
        <w:ind w:left="720"/>
        <w:jc w:val="center"/>
      </w:pPr>
      <w:r w:rsidRPr="002A7C6B">
        <w:rPr>
          <w:position w:val="-34"/>
        </w:rPr>
        <w:object w:dxaOrig="62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pt;height:35.15pt" o:ole="">
            <v:imagedata r:id="rId32" o:title=""/>
          </v:shape>
          <o:OLEObject Type="Embed" ProgID="Equation.3" ShapeID="_x0000_i1025" DrawAspect="Content" ObjectID="_1366197338" r:id="rId33"/>
        </w:object>
      </w:r>
      <w:r>
        <w:tab/>
      </w:r>
      <w:r>
        <w:tab/>
        <w:t>(C14)</w:t>
      </w:r>
    </w:p>
    <w:p w:rsidR="00DF141A" w:rsidRDefault="00DF141A" w:rsidP="00DF141A">
      <w:pPr>
        <w:pStyle w:val="Heading2"/>
        <w:ind w:left="-270"/>
        <w:rPr>
          <w:rFonts w:ascii="Cambria" w:hAnsi="Cambria"/>
        </w:rPr>
      </w:pPr>
      <w:bookmarkStart w:id="21" w:name="_Toc255992052"/>
      <w:bookmarkStart w:id="22" w:name="_Toc158980575"/>
      <w:r w:rsidRPr="0038523B">
        <w:rPr>
          <w:rFonts w:ascii="Cambria" w:hAnsi="Cambria"/>
        </w:rPr>
        <w:t>Running the Model</w:t>
      </w:r>
      <w:bookmarkEnd w:id="21"/>
      <w:bookmarkEnd w:id="22"/>
    </w:p>
    <w:p w:rsidR="00DF141A" w:rsidRPr="0038523B" w:rsidRDefault="00DF141A" w:rsidP="00DF141A"/>
    <w:p w:rsidR="00DF141A" w:rsidRDefault="00DF141A" w:rsidP="00DF141A">
      <w:pPr>
        <w:jc w:val="both"/>
      </w:pPr>
      <w:r>
        <w:lastRenderedPageBreak/>
        <w:t xml:space="preserve">Before running the Carbon Storage and Sequestration model, make sure that the </w:t>
      </w:r>
      <w:r>
        <w:rPr>
          <w:smallCaps/>
        </w:rPr>
        <w:t>InVEST</w:t>
      </w:r>
      <w:r>
        <w:t xml:space="preserve"> toolbox has been added to your </w:t>
      </w:r>
      <w:r w:rsidRPr="007C1FF6">
        <w:rPr>
          <w:smallCaps/>
        </w:rPr>
        <w:t>ArcMap</w:t>
      </w:r>
      <w:r>
        <w:t xml:space="preserve"> document, as described in the </w:t>
      </w:r>
      <w:r w:rsidRPr="00FB628F">
        <w:rPr>
          <w:b/>
        </w:rPr>
        <w:t>Getting Started</w:t>
      </w:r>
      <w:r>
        <w:t xml:space="preserve"> chapter. Second, make sure that you have prepared the required input data files according to the specifications in </w:t>
      </w:r>
      <w:r w:rsidRPr="00CD768A">
        <w:rPr>
          <w:bCs/>
          <w:iCs/>
        </w:rPr>
        <w:t>Data Needs.</w:t>
      </w:r>
      <w:r>
        <w:t xml:space="preserve"> Specifically, you will need (1) </w:t>
      </w:r>
      <w:r w:rsidRPr="000A2E4A">
        <w:t xml:space="preserve">a land cover raster file showing the location of different land cover and land use types in the landscape; and (2) a carbon pools file which </w:t>
      </w:r>
      <w:r>
        <w:t xml:space="preserve">denotes the amount of aboveground, belowground, and soil carbon, and carbon from dead biomass, by land cover type. Optionally, you may also include (1) a map of harvest rates; (2) economic data on the value of carbon; and (3) future land use/land cover and harvest rate data to project future carbon scenarios. </w:t>
      </w:r>
    </w:p>
    <w:p w:rsidR="00DF141A" w:rsidRDefault="00DF141A" w:rsidP="00DF141A">
      <w:pPr>
        <w:numPr>
          <w:ilvl w:val="0"/>
          <w:numId w:val="17"/>
        </w:numPr>
        <w:tabs>
          <w:tab w:val="left" w:pos="720"/>
        </w:tabs>
        <w:suppressAutoHyphens/>
        <w:spacing w:after="200"/>
      </w:pPr>
      <w:r>
        <w:t>Identify workspace</w:t>
      </w:r>
    </w:p>
    <w:p w:rsidR="00DF141A" w:rsidRDefault="00DF141A" w:rsidP="00DF141A">
      <w:pPr>
        <w:ind w:left="720"/>
        <w:jc w:val="both"/>
      </w:pPr>
      <w:r w:rsidRPr="00FF666C">
        <w:t>If you are using your own data, you need to first create a workspace</w:t>
      </w:r>
      <w:r>
        <w:t xml:space="preserve">, or folder for the analysis data, on your computer hard-drive. </w:t>
      </w:r>
      <w:r w:rsidRPr="00FF666C">
        <w:t>The entire pathname to the worksp</w:t>
      </w:r>
      <w:r>
        <w:t xml:space="preserve">ace should </w:t>
      </w:r>
      <w:r w:rsidRPr="00733DDC">
        <w:rPr>
          <w:u w:val="single"/>
        </w:rPr>
        <w:t>not</w:t>
      </w:r>
      <w:r>
        <w:t xml:space="preserve"> have any spaces.</w:t>
      </w:r>
      <w:r w:rsidRPr="00FF666C">
        <w:t xml:space="preserve"> All your output</w:t>
      </w:r>
      <w:r>
        <w:t xml:space="preserve"> files will be dumped here. </w:t>
      </w:r>
      <w:r w:rsidRPr="00FF666C">
        <w:t xml:space="preserve">For simplicity, you may </w:t>
      </w:r>
      <w:r>
        <w:t xml:space="preserve">wish to call the folder for your workspace “carbon” and </w:t>
      </w:r>
      <w:r w:rsidRPr="00FF666C">
        <w:t>create a folder in your workspace called “input” and pl</w:t>
      </w:r>
      <w:r>
        <w:t xml:space="preserve">ace all your input files here. </w:t>
      </w:r>
      <w:r w:rsidRPr="00FF666C">
        <w:t xml:space="preserve">It’s not necessary to place input files in the workspace, but advisable so you can easily see the data you use to run your model.  </w:t>
      </w:r>
    </w:p>
    <w:p w:rsidR="00DF141A" w:rsidRPr="00FF666C" w:rsidRDefault="00DF141A" w:rsidP="00DF141A">
      <w:pPr>
        <w:ind w:left="720"/>
      </w:pPr>
    </w:p>
    <w:p w:rsidR="00DF141A" w:rsidRPr="00B778A8" w:rsidRDefault="00DF141A" w:rsidP="00DF141A">
      <w:pPr>
        <w:jc w:val="both"/>
      </w:pPr>
      <w:r>
        <w:t>Or, i</w:t>
      </w:r>
      <w:r w:rsidRPr="00B778A8">
        <w:t>f this is your first time using t</w:t>
      </w:r>
      <w:r>
        <w:t>he tool and you wish to use sample</w:t>
      </w:r>
      <w:r w:rsidRPr="00B778A8">
        <w:t xml:space="preserve"> data, you can use the data provided in </w:t>
      </w:r>
      <w:r>
        <w:t>InVEST-Setup.exe.</w:t>
      </w:r>
      <w:r w:rsidRPr="00B778A8">
        <w:t xml:space="preserve"> If you unzipped the </w:t>
      </w:r>
      <w:r>
        <w:t>InVEST</w:t>
      </w:r>
      <w:r w:rsidRPr="00B778A8">
        <w:t xml:space="preserve"> files to your C-drive (as described in the </w:t>
      </w:r>
      <w:r w:rsidRPr="00B778A8">
        <w:rPr>
          <w:b/>
        </w:rPr>
        <w:t>Getting Started</w:t>
      </w:r>
      <w:r w:rsidRPr="00B778A8">
        <w:t xml:space="preserve"> chapter</w:t>
      </w:r>
      <w:r>
        <w:t>)</w:t>
      </w:r>
      <w:r w:rsidRPr="00B778A8">
        <w:t xml:space="preserve">, you should see a folder called </w:t>
      </w:r>
      <w:r>
        <w:t>/Invest</w:t>
      </w:r>
      <w:r w:rsidRPr="00B778A8">
        <w:t>/</w:t>
      </w:r>
      <w:r w:rsidRPr="00B778A8">
        <w:rPr>
          <w:b/>
        </w:rPr>
        <w:t>carbon</w:t>
      </w:r>
      <w:r>
        <w:t xml:space="preserve">. </w:t>
      </w:r>
      <w:r w:rsidRPr="00B778A8">
        <w:t>This</w:t>
      </w:r>
      <w:r>
        <w:t xml:space="preserve"> folder will be your workspace.</w:t>
      </w:r>
      <w:r w:rsidRPr="00B778A8">
        <w:t xml:space="preserve"> The input files are in a folder called </w:t>
      </w:r>
      <w:r>
        <w:t>/Invest</w:t>
      </w:r>
      <w:r w:rsidRPr="00B778A8">
        <w:t>/carbon/</w:t>
      </w:r>
      <w:r w:rsidRPr="00B778A8">
        <w:rPr>
          <w:b/>
        </w:rPr>
        <w:t>input</w:t>
      </w:r>
      <w:r w:rsidRPr="00B778A8">
        <w:t xml:space="preserve"> and in </w:t>
      </w:r>
      <w:r>
        <w:t>/Invest</w:t>
      </w:r>
      <w:r w:rsidRPr="00B778A8">
        <w:t>/</w:t>
      </w:r>
      <w:r w:rsidRPr="00B778A8">
        <w:rPr>
          <w:b/>
        </w:rPr>
        <w:t>base_data</w:t>
      </w:r>
      <w:r w:rsidRPr="00B778A8">
        <w:t xml:space="preserve">.  </w:t>
      </w:r>
    </w:p>
    <w:p w:rsidR="00DF141A" w:rsidRDefault="00DF141A" w:rsidP="00DF141A"/>
    <w:p w:rsidR="00DF141A" w:rsidRDefault="00DF141A" w:rsidP="00DF141A">
      <w:pPr>
        <w:numPr>
          <w:ilvl w:val="0"/>
          <w:numId w:val="13"/>
        </w:numPr>
      </w:pPr>
      <w:r>
        <w:t>O</w:t>
      </w:r>
      <w:r w:rsidRPr="00A1265D">
        <w:t>pen</w:t>
      </w:r>
      <w:r>
        <w:t xml:space="preserve"> an</w:t>
      </w:r>
      <w:r w:rsidRPr="00A1265D">
        <w:rPr>
          <w:smallCaps/>
        </w:rPr>
        <w:t>ArcMap</w:t>
      </w:r>
      <w:r>
        <w:t xml:space="preserve"> document to run your model.  </w:t>
      </w:r>
    </w:p>
    <w:p w:rsidR="00DF141A" w:rsidRPr="005F665C" w:rsidRDefault="00DF141A" w:rsidP="00DF141A"/>
    <w:p w:rsidR="00DF141A" w:rsidRPr="003C340C" w:rsidRDefault="00DF141A" w:rsidP="00DF141A">
      <w:pPr>
        <w:numPr>
          <w:ilvl w:val="0"/>
          <w:numId w:val="13"/>
        </w:numPr>
        <w:jc w:val="both"/>
      </w:pPr>
      <w:r>
        <w:rPr>
          <w:noProof/>
        </w:rPr>
        <w:drawing>
          <wp:anchor distT="0" distB="0" distL="114300" distR="114300" simplePos="0" relativeHeight="251660288" behindDoc="0" locked="0" layoutInCell="1" allowOverlap="1">
            <wp:simplePos x="0" y="0"/>
            <wp:positionH relativeFrom="column">
              <wp:posOffset>6174740</wp:posOffset>
            </wp:positionH>
            <wp:positionV relativeFrom="paragraph">
              <wp:posOffset>92710</wp:posOffset>
            </wp:positionV>
            <wp:extent cx="300990" cy="356235"/>
            <wp:effectExtent l="50800" t="25400" r="29210" b="24765"/>
            <wp:wrapSquare wrapText="bothSides"/>
            <wp:docPr id="1195" name="Picture 1195" descr="arctoolbox_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arctoolbox_button"/>
                    <pic:cNvPicPr>
                      <a:picLocks noChangeAspect="1" noChangeArrowheads="1"/>
                    </pic:cNvPicPr>
                  </pic:nvPicPr>
                  <pic:blipFill>
                    <a:blip r:embed="rId34"/>
                    <a:srcRect/>
                    <a:stretch>
                      <a:fillRect/>
                    </a:stretch>
                  </pic:blipFill>
                  <pic:spPr bwMode="auto">
                    <a:xfrm>
                      <a:off x="0" y="0"/>
                      <a:ext cx="300990" cy="356235"/>
                    </a:xfrm>
                    <a:prstGeom prst="rect">
                      <a:avLst/>
                    </a:prstGeom>
                    <a:noFill/>
                    <a:ln w="9525">
                      <a:solidFill>
                        <a:srgbClr val="000000"/>
                      </a:solidFill>
                      <a:miter lim="800000"/>
                      <a:headEnd/>
                      <a:tailEnd/>
                    </a:ln>
                  </pic:spPr>
                </pic:pic>
              </a:graphicData>
            </a:graphic>
          </wp:anchor>
        </w:drawing>
      </w:r>
      <w:r w:rsidRPr="00FF666C">
        <w:rPr>
          <w:noProof/>
        </w:rPr>
        <w:t>Find</w:t>
      </w:r>
      <w:r>
        <w:rPr>
          <w:noProof/>
        </w:rPr>
        <w:t xml:space="preserve"> the</w:t>
      </w:r>
      <w:r w:rsidRPr="00FF666C">
        <w:rPr>
          <w:smallCaps/>
          <w:noProof/>
        </w:rPr>
        <w:t>InVEST</w:t>
      </w:r>
      <w:r w:rsidRPr="00FF666C">
        <w:rPr>
          <w:noProof/>
        </w:rPr>
        <w:t xml:space="preserve"> toolbox</w:t>
      </w:r>
      <w:r w:rsidRPr="00FF666C">
        <w:t xml:space="preserve"> in </w:t>
      </w:r>
      <w:r w:rsidRPr="00FF666C">
        <w:rPr>
          <w:smallCaps/>
        </w:rPr>
        <w:t>ArcToolbox</w:t>
      </w:r>
      <w:r>
        <w:t>.</w:t>
      </w:r>
      <w:r w:rsidRPr="00FF666C">
        <w:rPr>
          <w:smallCaps/>
        </w:rPr>
        <w:t>Ar</w:t>
      </w:r>
      <w:r w:rsidRPr="00E008F5">
        <w:rPr>
          <w:smallCaps/>
        </w:rPr>
        <w:t>c</w:t>
      </w:r>
      <w:r w:rsidRPr="00FF666C">
        <w:rPr>
          <w:smallCaps/>
        </w:rPr>
        <w:t>T</w:t>
      </w:r>
      <w:r w:rsidRPr="00E008F5">
        <w:rPr>
          <w:smallCaps/>
        </w:rPr>
        <w:t>oolbox</w:t>
      </w:r>
      <w:r>
        <w:t xml:space="preserve"> is normally open in </w:t>
      </w:r>
      <w:r w:rsidRPr="00E008F5">
        <w:rPr>
          <w:smallCaps/>
        </w:rPr>
        <w:t>ArcMap</w:t>
      </w:r>
      <w:r>
        <w:t xml:space="preserve">, but if it is not, click on the </w:t>
      </w:r>
      <w:r w:rsidRPr="00E008F5">
        <w:rPr>
          <w:smallCaps/>
        </w:rPr>
        <w:t xml:space="preserve">ArcToolbox </w:t>
      </w:r>
      <w:r>
        <w:t xml:space="preserve">symbol. See the </w:t>
      </w:r>
      <w:r w:rsidRPr="005C4308">
        <w:rPr>
          <w:b/>
        </w:rPr>
        <w:t xml:space="preserve">Getting Started </w:t>
      </w:r>
      <w:r>
        <w:t>chapter if you don’t see the InVEST toolbox and need instructions on how to add it.</w:t>
      </w:r>
    </w:p>
    <w:p w:rsidR="00DF141A" w:rsidRPr="007F5EEA" w:rsidRDefault="00DF141A" w:rsidP="00DF141A">
      <w:pPr>
        <w:jc w:val="both"/>
      </w:pPr>
    </w:p>
    <w:p w:rsidR="00DF141A" w:rsidRPr="00C44764" w:rsidRDefault="00DF141A" w:rsidP="00DF141A">
      <w:pPr>
        <w:numPr>
          <w:ilvl w:val="0"/>
          <w:numId w:val="17"/>
        </w:numPr>
        <w:tabs>
          <w:tab w:val="left" w:pos="720"/>
        </w:tabs>
        <w:suppressAutoHyphens/>
        <w:spacing w:after="200"/>
        <w:jc w:val="both"/>
        <w:rPr>
          <w:smallCaps/>
        </w:rPr>
      </w:pPr>
      <w:r>
        <w:rPr>
          <w:noProof/>
        </w:rPr>
        <w:drawing>
          <wp:anchor distT="0" distB="0" distL="114935" distR="114935" simplePos="0" relativeHeight="251661312" behindDoc="0" locked="0" layoutInCell="1" allowOverlap="1">
            <wp:simplePos x="0" y="0"/>
            <wp:positionH relativeFrom="column">
              <wp:posOffset>6174740</wp:posOffset>
            </wp:positionH>
            <wp:positionV relativeFrom="paragraph">
              <wp:posOffset>138430</wp:posOffset>
            </wp:positionV>
            <wp:extent cx="346710" cy="306705"/>
            <wp:effectExtent l="50800" t="25400" r="34290" b="23495"/>
            <wp:wrapSquare wrapText="bothSides"/>
            <wp:docPr id="1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r="-2055" b="-1685"/>
                    <a:stretch>
                      <a:fillRect/>
                    </a:stretch>
                  </pic:blipFill>
                  <pic:spPr bwMode="auto">
                    <a:xfrm>
                      <a:off x="0" y="0"/>
                      <a:ext cx="346710" cy="306705"/>
                    </a:xfrm>
                    <a:prstGeom prst="rect">
                      <a:avLst/>
                    </a:prstGeom>
                    <a:solidFill>
                      <a:srgbClr val="FFFFFF"/>
                    </a:solidFill>
                    <a:ln w="9525">
                      <a:solidFill>
                        <a:srgbClr val="000000"/>
                      </a:solidFill>
                      <a:miter lim="800000"/>
                      <a:headEnd/>
                      <a:tailEnd/>
                    </a:ln>
                  </pic:spPr>
                </pic:pic>
              </a:graphicData>
            </a:graphic>
          </wp:anchor>
        </w:drawing>
      </w:r>
      <w:r>
        <w:t xml:space="preserve">You can run this analysis without adding data to your map view, but usually it is recommended to view your data first and familiarize yourself. Add the data for this analysis to your map using the </w:t>
      </w:r>
      <w:r>
        <w:rPr>
          <w:smallCaps/>
        </w:rPr>
        <w:t>Add Data</w:t>
      </w:r>
      <w:r>
        <w:t xml:space="preserve"> button and look at each file to make sure it is formatted correctly. Save your </w:t>
      </w:r>
      <w:r w:rsidRPr="00DF7117">
        <w:rPr>
          <w:smallCaps/>
        </w:rPr>
        <w:t>ArcMap</w:t>
      </w:r>
      <w:r>
        <w:t xml:space="preserve"> file as needed.</w:t>
      </w:r>
    </w:p>
    <w:p w:rsidR="00DF141A" w:rsidRDefault="00DF141A" w:rsidP="00DF141A">
      <w:pPr>
        <w:numPr>
          <w:ilvl w:val="0"/>
          <w:numId w:val="18"/>
        </w:numPr>
        <w:suppressAutoHyphens/>
        <w:spacing w:after="200"/>
        <w:jc w:val="both"/>
      </w:pPr>
      <w:r w:rsidRPr="00993EB7">
        <w:t xml:space="preserve">Click once on the </w:t>
      </w:r>
      <w:r>
        <w:t>+</w:t>
      </w:r>
      <w:r w:rsidRPr="00993EB7">
        <w:t xml:space="preserve"> sign on the left side of the </w:t>
      </w:r>
      <w:r>
        <w:rPr>
          <w:smallCaps/>
        </w:rPr>
        <w:t>InVEST</w:t>
      </w:r>
      <w:r w:rsidRPr="00993EB7">
        <w:t xml:space="preserve"> toolbox t</w:t>
      </w:r>
      <w:r>
        <w:t>o expand the list of tools.</w:t>
      </w:r>
      <w:r w:rsidRPr="00993EB7">
        <w:t xml:space="preserve"> Double-click on </w:t>
      </w:r>
      <w:r>
        <w:t>Carbon.</w:t>
      </w:r>
    </w:p>
    <w:p w:rsidR="00DF141A" w:rsidRDefault="00DF141A" w:rsidP="00DF141A">
      <w:pPr>
        <w:suppressAutoHyphens/>
        <w:spacing w:after="200"/>
        <w:jc w:val="both"/>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pPr>
    </w:p>
    <w:p w:rsidR="00DF141A" w:rsidRDefault="00DF141A" w:rsidP="00DF141A">
      <w:pPr>
        <w:pStyle w:val="Caption"/>
        <w:jc w:val="center"/>
        <w:rPr>
          <w:rFonts w:ascii="Times New Roman" w:hAnsi="Times New Roman"/>
          <w:sz w:val="24"/>
          <w:szCs w:val="24"/>
        </w:rPr>
      </w:pPr>
      <w:r>
        <w:t xml:space="preserve">Carbon </w:t>
      </w:r>
      <w:r w:rsidRPr="00DF7117">
        <w:t xml:space="preserve">tool dialog </w:t>
      </w:r>
    </w:p>
    <w:p w:rsidR="00DF141A" w:rsidRDefault="00DF141A" w:rsidP="00DF141A">
      <w:pPr>
        <w:suppressAutoHyphens/>
        <w:spacing w:after="200"/>
        <w:jc w:val="both"/>
      </w:pPr>
      <w:r>
        <w:rPr>
          <w:noProof/>
          <w:sz w:val="20"/>
          <w:szCs w:val="20"/>
        </w:rPr>
        <w:lastRenderedPageBreak/>
        <w:drawing>
          <wp:anchor distT="0" distB="0" distL="114300" distR="114300" simplePos="0" relativeHeight="251664384" behindDoc="0" locked="0" layoutInCell="1" allowOverlap="0">
            <wp:simplePos x="0" y="0"/>
            <wp:positionH relativeFrom="column">
              <wp:posOffset>118745</wp:posOffset>
            </wp:positionH>
            <wp:positionV relativeFrom="paragraph">
              <wp:posOffset>114300</wp:posOffset>
            </wp:positionV>
            <wp:extent cx="5937250" cy="5425440"/>
            <wp:effectExtent l="25400" t="0" r="6350" b="0"/>
            <wp:wrapSquare wrapText="bothSides"/>
            <wp:docPr id="1199" name="Picture 3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bon"/>
                    <pic:cNvPicPr>
                      <a:picLocks noChangeAspect="1" noChangeArrowheads="1"/>
                    </pic:cNvPicPr>
                  </pic:nvPicPr>
                  <pic:blipFill>
                    <a:blip r:embed="rId36"/>
                    <a:srcRect/>
                    <a:stretch>
                      <a:fillRect/>
                    </a:stretch>
                  </pic:blipFill>
                  <pic:spPr bwMode="auto">
                    <a:xfrm>
                      <a:off x="0" y="0"/>
                      <a:ext cx="5937250" cy="5425440"/>
                    </a:xfrm>
                    <a:prstGeom prst="rect">
                      <a:avLst/>
                    </a:prstGeom>
                    <a:noFill/>
                  </pic:spPr>
                </pic:pic>
              </a:graphicData>
            </a:graphic>
          </wp:anchor>
        </w:drawing>
      </w:r>
    </w:p>
    <w:p w:rsidR="00DF141A" w:rsidRPr="00F67E18" w:rsidRDefault="00DF141A" w:rsidP="00DF141A">
      <w:pPr>
        <w:numPr>
          <w:ilvl w:val="0"/>
          <w:numId w:val="17"/>
        </w:numPr>
        <w:spacing w:after="60"/>
        <w:jc w:val="both"/>
      </w:pPr>
      <w:r w:rsidRPr="00826442">
        <w:t>An interface w</w:t>
      </w:r>
      <w:r>
        <w:t xml:space="preserve">ill pop up like the one above. </w:t>
      </w:r>
      <w:r w:rsidRPr="00826442">
        <w:t xml:space="preserve">The tool </w:t>
      </w:r>
      <w:r>
        <w:t xml:space="preserve">shows </w:t>
      </w:r>
      <w:r w:rsidRPr="00826442">
        <w:t>default file names, but you can use the file buttons to b</w:t>
      </w:r>
      <w:r>
        <w:t>rowse instead to your own data.</w:t>
      </w:r>
      <w:r w:rsidRPr="00826442">
        <w:t xml:space="preserve"> When you place your cursor in each </w:t>
      </w:r>
      <w:r>
        <w:t>space</w:t>
      </w:r>
      <w:r w:rsidRPr="00826442">
        <w:t>, you can read a description of the data requirements in t</w:t>
      </w:r>
      <w:r>
        <w:t>he right side of the interface.</w:t>
      </w:r>
      <w:r w:rsidRPr="00826442">
        <w:t xml:space="preserve"> In addition, refer to the </w:t>
      </w:r>
      <w:r w:rsidRPr="00CA195F">
        <w:rPr>
          <w:bCs/>
          <w:i/>
        </w:rPr>
        <w:t>Data Needs</w:t>
      </w:r>
      <w:r w:rsidRPr="00826442">
        <w:t xml:space="preserve"> section above for information on data formats</w:t>
      </w:r>
      <w:r w:rsidRPr="00DB7E60">
        <w:t xml:space="preserve">.  </w:t>
      </w:r>
    </w:p>
    <w:p w:rsidR="00DF141A" w:rsidRPr="00A1265D" w:rsidRDefault="00DF141A" w:rsidP="00DF141A">
      <w:pPr>
        <w:numPr>
          <w:ilvl w:val="0"/>
          <w:numId w:val="14"/>
        </w:numPr>
        <w:jc w:val="both"/>
      </w:pPr>
      <w:r>
        <w:t>Fill in data file names and values for all required prompts. Unless the space is indicated as optional, it requires you to enter some data. If you choose to run the optional economic valuation, all optional inputs below the checkbox become required.</w:t>
      </w:r>
    </w:p>
    <w:p w:rsidR="00DF141A" w:rsidRDefault="00DF141A" w:rsidP="00DF141A"/>
    <w:p w:rsidR="00DF141A" w:rsidRDefault="00DF141A" w:rsidP="00DF141A">
      <w:pPr>
        <w:numPr>
          <w:ilvl w:val="0"/>
          <w:numId w:val="14"/>
        </w:numPr>
      </w:pPr>
      <w:r>
        <w:t xml:space="preserve">After you’ve entered all values as required, click on </w:t>
      </w:r>
      <w:r w:rsidRPr="00A1265D">
        <w:rPr>
          <w:smallCaps/>
        </w:rPr>
        <w:t>OK</w:t>
      </w:r>
      <w:r>
        <w:t xml:space="preserve">.  The script will run, and its progress will be indicated by a “Progress dialogue”.  </w:t>
      </w:r>
    </w:p>
    <w:p w:rsidR="00DF141A" w:rsidRDefault="00DF141A" w:rsidP="00DF141A"/>
    <w:p w:rsidR="00DF141A" w:rsidRDefault="00DF141A" w:rsidP="00DF141A">
      <w:pPr>
        <w:numPr>
          <w:ilvl w:val="0"/>
          <w:numId w:val="14"/>
        </w:numPr>
        <w:jc w:val="both"/>
      </w:pPr>
      <w:r>
        <w:lastRenderedPageBreak/>
        <w:t xml:space="preserve">Upon successful completion of the model, you will see new folders in your workspace called “intermediate” and “output.” These folders contain several raster grids. These grids are described in the </w:t>
      </w:r>
      <w:r w:rsidRPr="00EE1092">
        <w:rPr>
          <w:i/>
          <w:iCs/>
        </w:rPr>
        <w:t>Interpreting Results</w:t>
      </w:r>
      <w:r>
        <w:t xml:space="preserve"> section.</w:t>
      </w:r>
    </w:p>
    <w:p w:rsidR="00DF141A" w:rsidRDefault="00DF141A" w:rsidP="00DF141A">
      <w:r>
        <w:rPr>
          <w:noProof/>
          <w:sz w:val="22"/>
          <w:szCs w:val="22"/>
        </w:rPr>
        <w:drawing>
          <wp:anchor distT="0" distB="0" distL="114300" distR="114300" simplePos="0" relativeHeight="251662336" behindDoc="0" locked="0" layoutInCell="1" allowOverlap="1">
            <wp:simplePos x="0" y="0"/>
            <wp:positionH relativeFrom="column">
              <wp:posOffset>5224780</wp:posOffset>
            </wp:positionH>
            <wp:positionV relativeFrom="paragraph">
              <wp:posOffset>99060</wp:posOffset>
            </wp:positionV>
            <wp:extent cx="342900" cy="304800"/>
            <wp:effectExtent l="25400" t="0" r="0" b="0"/>
            <wp:wrapSquare wrapText="bothSides"/>
            <wp:docPr id="1197" name="Picture 1197" descr="ad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add_data"/>
                    <pic:cNvPicPr>
                      <a:picLocks noChangeAspect="1" noChangeArrowheads="1"/>
                    </pic:cNvPicPr>
                  </pic:nvPicPr>
                  <pic:blipFill>
                    <a:blip r:embed="rId37"/>
                    <a:srcRect/>
                    <a:stretch>
                      <a:fillRect/>
                    </a:stretch>
                  </pic:blipFill>
                  <pic:spPr bwMode="auto">
                    <a:xfrm>
                      <a:off x="0" y="0"/>
                      <a:ext cx="342900" cy="304800"/>
                    </a:xfrm>
                    <a:prstGeom prst="rect">
                      <a:avLst/>
                    </a:prstGeom>
                    <a:noFill/>
                  </pic:spPr>
                </pic:pic>
              </a:graphicData>
            </a:graphic>
          </wp:anchor>
        </w:drawing>
      </w:r>
    </w:p>
    <w:p w:rsidR="00DF141A" w:rsidRDefault="00DF141A" w:rsidP="00DF141A">
      <w:pPr>
        <w:numPr>
          <w:ilvl w:val="0"/>
          <w:numId w:val="15"/>
        </w:numPr>
      </w:pPr>
      <w:r>
        <w:t xml:space="preserve">Load the output grids into </w:t>
      </w:r>
      <w:r w:rsidRPr="00E008F5">
        <w:rPr>
          <w:smallCaps/>
        </w:rPr>
        <w:t xml:space="preserve">ArcMap </w:t>
      </w:r>
      <w:r>
        <w:t xml:space="preserve">using the </w:t>
      </w:r>
      <w:r w:rsidRPr="00A1265D">
        <w:rPr>
          <w:smallCaps/>
        </w:rPr>
        <w:t>Add Data</w:t>
      </w:r>
      <w:r>
        <w:t xml:space="preserve"> button.  </w:t>
      </w:r>
    </w:p>
    <w:p w:rsidR="00DF141A" w:rsidRDefault="00DF141A" w:rsidP="00DF141A">
      <w:pPr>
        <w:ind w:left="720"/>
      </w:pPr>
    </w:p>
    <w:p w:rsidR="00DF141A" w:rsidRDefault="00DF141A" w:rsidP="00DF141A">
      <w:pPr>
        <w:numPr>
          <w:ilvl w:val="0"/>
          <w:numId w:val="15"/>
        </w:numPr>
        <w:jc w:val="both"/>
      </w:pPr>
      <w:r>
        <w:t xml:space="preserve">You can change the symbology of a layer by right-clicking on the layer name in the table of contents, selecting </w:t>
      </w:r>
      <w:r w:rsidRPr="00087CDE">
        <w:rPr>
          <w:smallCaps/>
        </w:rPr>
        <w:t>Properties</w:t>
      </w:r>
      <w:r>
        <w:t xml:space="preserve">, and then </w:t>
      </w:r>
      <w:r w:rsidRPr="00087CDE">
        <w:rPr>
          <w:smallCaps/>
        </w:rPr>
        <w:t>Symbology</w:t>
      </w:r>
      <w:r>
        <w:t>. There are many options here to change the way the file appears in the map.</w:t>
      </w:r>
    </w:p>
    <w:p w:rsidR="00DF141A" w:rsidRPr="00087CDE" w:rsidRDefault="00DF141A" w:rsidP="00DF141A">
      <w:pPr>
        <w:jc w:val="both"/>
      </w:pPr>
    </w:p>
    <w:p w:rsidR="00DF141A" w:rsidRPr="00095A44" w:rsidRDefault="00DF141A" w:rsidP="00DF141A">
      <w:pPr>
        <w:numPr>
          <w:ilvl w:val="0"/>
          <w:numId w:val="15"/>
        </w:numPr>
        <w:jc w:val="both"/>
      </w:pPr>
      <w:r>
        <w:t xml:space="preserve">You can also view the attribute data of output files by right clicking on a layer and selecting </w:t>
      </w:r>
      <w:r w:rsidRPr="00087CDE">
        <w:rPr>
          <w:smallCaps/>
        </w:rPr>
        <w:t>Open Attribute Table</w:t>
      </w:r>
      <w:r>
        <w:t>.</w:t>
      </w:r>
    </w:p>
    <w:p w:rsidR="00DF141A" w:rsidRDefault="00DF141A" w:rsidP="00DF141A">
      <w:pPr>
        <w:pStyle w:val="Heading2"/>
        <w:ind w:left="-270"/>
        <w:rPr>
          <w:rFonts w:ascii="Cambria" w:hAnsi="Cambria"/>
          <w:sz w:val="30"/>
        </w:rPr>
      </w:pPr>
    </w:p>
    <w:p w:rsidR="00DF141A" w:rsidRPr="00445E89" w:rsidRDefault="00DF141A" w:rsidP="00DF141A">
      <w:pPr>
        <w:pStyle w:val="Heading2"/>
        <w:ind w:left="-270"/>
        <w:rPr>
          <w:rFonts w:ascii="Cambria" w:hAnsi="Cambria"/>
          <w:sz w:val="30"/>
        </w:rPr>
      </w:pPr>
      <w:bookmarkStart w:id="23" w:name="_Toc255992053"/>
      <w:bookmarkStart w:id="24" w:name="_Toc158980576"/>
      <w:r w:rsidRPr="00445E89">
        <w:rPr>
          <w:rFonts w:ascii="Cambria" w:hAnsi="Cambria"/>
          <w:sz w:val="30"/>
        </w:rPr>
        <w:t>Interpreting Results</w:t>
      </w:r>
      <w:bookmarkEnd w:id="23"/>
      <w:bookmarkEnd w:id="24"/>
    </w:p>
    <w:p w:rsidR="00DF141A" w:rsidRPr="00445E89" w:rsidRDefault="00DF141A" w:rsidP="00DF141A">
      <w:pPr>
        <w:pStyle w:val="Heading3"/>
        <w:rPr>
          <w:rFonts w:ascii="Cambria" w:hAnsi="Cambria"/>
        </w:rPr>
      </w:pPr>
      <w:bookmarkStart w:id="25" w:name="_Toc255992054"/>
      <w:bookmarkStart w:id="26" w:name="_Toc158980577"/>
      <w:r w:rsidRPr="00445E89">
        <w:rPr>
          <w:rFonts w:ascii="Cambria" w:hAnsi="Cambria"/>
        </w:rPr>
        <w:t xml:space="preserve">Parameter </w:t>
      </w:r>
      <w:r>
        <w:rPr>
          <w:rFonts w:ascii="Cambria" w:hAnsi="Cambria"/>
        </w:rPr>
        <w:t>l</w:t>
      </w:r>
      <w:r w:rsidRPr="00445E89">
        <w:rPr>
          <w:rFonts w:ascii="Cambria" w:hAnsi="Cambria"/>
        </w:rPr>
        <w:t>og</w:t>
      </w:r>
      <w:bookmarkEnd w:id="25"/>
      <w:bookmarkEnd w:id="26"/>
    </w:p>
    <w:p w:rsidR="00DF141A" w:rsidRPr="005F665C" w:rsidRDefault="00DF141A" w:rsidP="00DF141A">
      <w:pPr>
        <w:jc w:val="both"/>
      </w:pPr>
      <w:r>
        <w:t>Each time the model is run, a</w:t>
      </w:r>
      <w:r w:rsidRPr="009819D1">
        <w:t xml:space="preserve"> text file</w:t>
      </w:r>
      <w:r>
        <w:t xml:space="preserve"> will appear in the output folder. The file will list the parameter values for that run and will be named according to the service, the date and time, and the suffix. </w:t>
      </w:r>
    </w:p>
    <w:p w:rsidR="00DF141A" w:rsidRPr="008E6033" w:rsidRDefault="00DF141A" w:rsidP="00DF141A">
      <w:pPr>
        <w:pStyle w:val="Heading3"/>
        <w:rPr>
          <w:rFonts w:ascii="Cambria" w:hAnsi="Cambria"/>
        </w:rPr>
      </w:pPr>
      <w:bookmarkStart w:id="27" w:name="_Toc255992055"/>
      <w:bookmarkStart w:id="28" w:name="_Toc158980578"/>
      <w:r w:rsidRPr="008E6033">
        <w:rPr>
          <w:rFonts w:ascii="Cambria" w:hAnsi="Cambria"/>
        </w:rPr>
        <w:t>Final results</w:t>
      </w:r>
      <w:bookmarkEnd w:id="27"/>
      <w:bookmarkEnd w:id="28"/>
    </w:p>
    <w:p w:rsidR="00DF141A" w:rsidRDefault="00DF141A" w:rsidP="00DF141A">
      <w:r>
        <w:t>Final results are found in the “Output” folder within the working directory set up for this model.</w:t>
      </w:r>
    </w:p>
    <w:p w:rsidR="00DF141A" w:rsidRDefault="00DF141A" w:rsidP="00DF141A"/>
    <w:p w:rsidR="00DF141A" w:rsidRDefault="00DF141A" w:rsidP="00DF141A">
      <w:pPr>
        <w:numPr>
          <w:ilvl w:val="0"/>
          <w:numId w:val="11"/>
        </w:numPr>
        <w:suppressAutoHyphens/>
        <w:jc w:val="both"/>
      </w:pPr>
      <w:r w:rsidRPr="007F5EEA">
        <w:rPr>
          <w:b/>
          <w:i/>
        </w:rPr>
        <w:t>tot_C_cur</w:t>
      </w:r>
      <w:r>
        <w:t xml:space="preserve">: This file shows the </w:t>
      </w:r>
      <w:r w:rsidRPr="005F665C">
        <w:rPr>
          <w:i/>
        </w:rPr>
        <w:t>amount of carbon currently stored</w:t>
      </w:r>
      <w:r>
        <w:t xml:space="preserve"> in Mg in each grid cell at the chosen resolution. This is a sum of all of the carbon pools you have included data for (above ground, below ground, soil, dead material, and harvested wood product). </w:t>
      </w:r>
      <w:r w:rsidRPr="00D5030A">
        <w:t>T</w:t>
      </w:r>
      <w:r>
        <w:t>he lowest value can be 0 (for example, paved areas if you don’t include the soil beneath the pavement). Examine this map to see where high and low values fall. Is this what you would expect given the current land use and land cover? If not, check your input files.</w:t>
      </w:r>
    </w:p>
    <w:p w:rsidR="00DF141A" w:rsidRPr="005F665C" w:rsidRDefault="00DF141A" w:rsidP="00DF141A">
      <w:pPr>
        <w:suppressAutoHyphens/>
        <w:jc w:val="both"/>
        <w:rPr>
          <w:sz w:val="6"/>
        </w:rPr>
      </w:pPr>
    </w:p>
    <w:p w:rsidR="00DF141A" w:rsidRDefault="00DF141A" w:rsidP="00DF141A">
      <w:pPr>
        <w:numPr>
          <w:ilvl w:val="0"/>
          <w:numId w:val="8"/>
        </w:numPr>
        <w:tabs>
          <w:tab w:val="left" w:pos="720"/>
        </w:tabs>
        <w:suppressAutoHyphens/>
        <w:jc w:val="both"/>
      </w:pPr>
      <w:r w:rsidRPr="007F5EEA">
        <w:rPr>
          <w:b/>
          <w:i/>
        </w:rPr>
        <w:t>tot_C_fut</w:t>
      </w:r>
      <w:r>
        <w:t xml:space="preserve">: This file shows the </w:t>
      </w:r>
      <w:r w:rsidRPr="005F665C">
        <w:rPr>
          <w:i/>
        </w:rPr>
        <w:t>total amount of carbon that will be stored</w:t>
      </w:r>
      <w:r>
        <w:t xml:space="preserve"> in each parcel under your future landscape scenario. It is a sum of all the carbon pools for which you have included data. The values are in Mgper grid cell. Again, the lowest value can be 0.</w:t>
      </w:r>
    </w:p>
    <w:p w:rsidR="00DF141A" w:rsidRPr="005F665C" w:rsidRDefault="00DF141A" w:rsidP="00DF141A">
      <w:pPr>
        <w:suppressAutoHyphens/>
        <w:jc w:val="both"/>
        <w:rPr>
          <w:sz w:val="6"/>
        </w:rPr>
      </w:pPr>
    </w:p>
    <w:p w:rsidR="00DF141A" w:rsidRPr="005F665C" w:rsidRDefault="00DF141A" w:rsidP="00DF141A">
      <w:pPr>
        <w:numPr>
          <w:ilvl w:val="0"/>
          <w:numId w:val="8"/>
        </w:numPr>
        <w:tabs>
          <w:tab w:val="left" w:pos="720"/>
        </w:tabs>
        <w:suppressAutoHyphens/>
        <w:jc w:val="both"/>
      </w:pPr>
      <w:r>
        <w:rPr>
          <w:b/>
          <w:i/>
        </w:rPr>
        <w:t>sequest:</w:t>
      </w:r>
      <w:r>
        <w:t xml:space="preserve"> This file maps the </w:t>
      </w:r>
      <w:r w:rsidRPr="005F665C">
        <w:rPr>
          <w:i/>
        </w:rPr>
        <w:t>difference in carbon</w:t>
      </w:r>
      <w:r>
        <w:t xml:space="preserve"> stored between the future landscape and the current landscape – or the carbon that is sequestered during the entire given time period (i.e. this is a rate per the total time period elapsed, </w:t>
      </w:r>
      <w:r w:rsidRPr="00EB3BDE">
        <w:rPr>
          <w:i/>
        </w:rPr>
        <w:t>yr_fut</w:t>
      </w:r>
      <w:r>
        <w:t xml:space="preserve"> – </w:t>
      </w:r>
      <w:r w:rsidRPr="00EB3BDE">
        <w:rPr>
          <w:i/>
        </w:rPr>
        <w:t>yr_cur</w:t>
      </w:r>
      <w:r>
        <w:t xml:space="preserve">, not per year). The values are in </w:t>
      </w:r>
      <w:r w:rsidRPr="005A29FD">
        <w:t>Mg</w:t>
      </w:r>
      <w:r>
        <w:t xml:space="preserve"> pergrid cell. In this map some values may be negative and some positive. Positive values indicate sequestered carbon, whereas negative values indicate carbon that was lost. Areas with large negative or positive values should have the biggest changes in LULC or harvest rates. Remember that carbon emissions due to management activities (tractors burning fuel, fertilizer additions, etc.) on a parcel are NOT included in this assessment.</w:t>
      </w:r>
    </w:p>
    <w:p w:rsidR="00DF141A" w:rsidRPr="005F665C" w:rsidRDefault="00DF141A" w:rsidP="00DF141A">
      <w:pPr>
        <w:suppressAutoHyphens/>
        <w:jc w:val="both"/>
        <w:rPr>
          <w:sz w:val="6"/>
        </w:rPr>
      </w:pPr>
    </w:p>
    <w:p w:rsidR="00DF141A" w:rsidRPr="003B319C" w:rsidRDefault="00DF141A" w:rsidP="00DF141A">
      <w:pPr>
        <w:numPr>
          <w:ilvl w:val="0"/>
          <w:numId w:val="8"/>
        </w:numPr>
        <w:tabs>
          <w:tab w:val="left" w:pos="720"/>
        </w:tabs>
        <w:suppressAutoHyphens/>
        <w:jc w:val="both"/>
        <w:rPr>
          <w:i/>
        </w:rPr>
      </w:pPr>
      <w:r>
        <w:rPr>
          <w:b/>
          <w:i/>
        </w:rPr>
        <w:t>v</w:t>
      </w:r>
      <w:r w:rsidRPr="000B0531">
        <w:rPr>
          <w:b/>
          <w:i/>
          <w:sz w:val="6"/>
        </w:rPr>
        <w:t>v</w:t>
      </w:r>
      <w:r w:rsidRPr="005A62E3">
        <w:rPr>
          <w:b/>
          <w:i/>
        </w:rPr>
        <w:t>alue_seq:</w:t>
      </w:r>
      <w:r w:rsidRPr="005A62E3">
        <w:t xml:space="preserve"> This file maps the </w:t>
      </w:r>
      <w:r w:rsidRPr="005A62E3">
        <w:rPr>
          <w:i/>
        </w:rPr>
        <w:t>economic value of carbon sequestered</w:t>
      </w:r>
      <w:r>
        <w:t xml:space="preserve"> (between the current and the future landscape dates, </w:t>
      </w:r>
      <w:r w:rsidRPr="006A74A3">
        <w:rPr>
          <w:i/>
        </w:rPr>
        <w:t>yr_cur</w:t>
      </w:r>
      <w:r>
        <w:t xml:space="preserve"> and </w:t>
      </w:r>
      <w:r w:rsidRPr="006A74A3">
        <w:rPr>
          <w:i/>
        </w:rPr>
        <w:t>yr_fut</w:t>
      </w:r>
      <w:r>
        <w:t xml:space="preserve">). The relative differences between </w:t>
      </w:r>
      <w:r>
        <w:lastRenderedPageBreak/>
        <w:t xml:space="preserve">parcels should be similar (but not identical) to </w:t>
      </w:r>
      <w:r>
        <w:rPr>
          <w:i/>
        </w:rPr>
        <w:t>sequest,</w:t>
      </w:r>
      <w:r>
        <w:t xml:space="preserve"> but the values are in dollarsper grid cell instead of Mg</w:t>
      </w:r>
      <w:r w:rsidRPr="006A74A3">
        <w:t xml:space="preserve"> per grid cell</w:t>
      </w:r>
      <w:r>
        <w:t xml:space="preserve">. As with </w:t>
      </w:r>
      <w:r>
        <w:rPr>
          <w:i/>
        </w:rPr>
        <w:t>sequest,</w:t>
      </w:r>
      <w:r>
        <w:t xml:space="preserve"> values may be negative, indicating the cost of carbon emissions from LULC changes to that parcel.</w:t>
      </w:r>
    </w:p>
    <w:p w:rsidR="00DF141A" w:rsidRPr="00572E67" w:rsidRDefault="00DF141A" w:rsidP="00DF141A">
      <w:pPr>
        <w:pStyle w:val="Heading3"/>
        <w:rPr>
          <w:rFonts w:ascii="Cambria" w:hAnsi="Cambria"/>
          <w:b w:val="0"/>
          <w:bCs w:val="0"/>
          <w:iCs/>
        </w:rPr>
      </w:pPr>
      <w:bookmarkStart w:id="29" w:name="_Toc255992056"/>
      <w:bookmarkStart w:id="30" w:name="_Toc158980579"/>
      <w:r w:rsidRPr="00572E67">
        <w:rPr>
          <w:rStyle w:val="Char1"/>
          <w:rFonts w:ascii="Cambria" w:hAnsi="Cambria"/>
          <w:iCs/>
        </w:rPr>
        <w:t>Intermediate results</w:t>
      </w:r>
      <w:bookmarkEnd w:id="29"/>
      <w:bookmarkEnd w:id="30"/>
    </w:p>
    <w:p w:rsidR="00DF141A" w:rsidRPr="00F51167" w:rsidRDefault="00DF141A" w:rsidP="00DF141A">
      <w:pPr>
        <w:suppressAutoHyphens/>
        <w:jc w:val="both"/>
      </w:pPr>
      <w:r>
        <w:t xml:space="preserve">These files independently map each of the five carbon pools that contribute to the final results for both current and future landscapes. Examining these results can help you determine which of the carbon pools are changing the most between your current and future landscapes and can help you identify areas where your data may need correcting. The unit for each of these pool outputs isMg per grid cell. </w:t>
      </w:r>
      <w:r w:rsidRPr="00070DB8">
        <w:rPr>
          <w:i/>
        </w:rPr>
        <w:t>Biomass_HWP_cur</w:t>
      </w:r>
      <w:r>
        <w:t xml:space="preserve">and </w:t>
      </w:r>
      <w:r w:rsidRPr="00070DB8">
        <w:rPr>
          <w:i/>
        </w:rPr>
        <w:t>Biomass_HWP_fut</w:t>
      </w:r>
      <w:r>
        <w:t xml:space="preserve"> are both measured in Mg dry matter</w:t>
      </w:r>
      <w:r w:rsidRPr="006A74A3">
        <w:t xml:space="preserve"> per grid cell</w:t>
      </w:r>
      <w:r>
        <w:t xml:space="preserve"> and </w:t>
      </w:r>
      <w:r>
        <w:rPr>
          <w:i/>
        </w:rPr>
        <w:t>Vol</w:t>
      </w:r>
      <w:r w:rsidRPr="00070DB8">
        <w:rPr>
          <w:i/>
        </w:rPr>
        <w:t>_HWP_cur</w:t>
      </w:r>
      <w:r>
        <w:t xml:space="preserve">and </w:t>
      </w:r>
      <w:r>
        <w:rPr>
          <w:i/>
        </w:rPr>
        <w:t>Vol</w:t>
      </w:r>
      <w:r w:rsidRPr="00070DB8">
        <w:rPr>
          <w:i/>
        </w:rPr>
        <w:t>_HWP_fut</w:t>
      </w:r>
      <w:r>
        <w:t xml:space="preserve"> are both measured in m</w:t>
      </w:r>
      <w:r w:rsidRPr="007E4E18">
        <w:rPr>
          <w:vertAlign w:val="superscript"/>
        </w:rPr>
        <w:t>3</w:t>
      </w:r>
      <w:r>
        <w:t xml:space="preserve"> of wood per grid cell.  </w:t>
      </w:r>
      <w:r w:rsidRPr="00F51167">
        <w:rPr>
          <w:i/>
        </w:rPr>
        <w:t>lc_res_cur</w:t>
      </w:r>
      <w:r>
        <w:t xml:space="preserve"> and </w:t>
      </w:r>
      <w:r w:rsidRPr="00F51167">
        <w:rPr>
          <w:i/>
        </w:rPr>
        <w:t>lc_res_</w:t>
      </w:r>
      <w:r>
        <w:rPr>
          <w:i/>
        </w:rPr>
        <w:t>fut</w:t>
      </w:r>
      <w:r>
        <w:t xml:space="preserve"> give the current and future LULC maps at the resolution chosen with the model interface. Finally, </w:t>
      </w:r>
      <w:r w:rsidRPr="00F51167">
        <w:rPr>
          <w:i/>
        </w:rPr>
        <w:t>Carbon_dateandtime_suffix.</w:t>
      </w:r>
      <w:r>
        <w:t xml:space="preserve">txt is a text file that summarizes the </w:t>
      </w:r>
      <w:r w:rsidRPr="00F51167">
        <w:t xml:space="preserve">parameter data </w:t>
      </w:r>
      <w:r>
        <w:t xml:space="preserve">you chose when </w:t>
      </w:r>
      <w:r w:rsidRPr="00F51167">
        <w:t>run</w:t>
      </w:r>
      <w:r>
        <w:t>ning</w:t>
      </w:r>
      <w:r w:rsidRPr="00F51167">
        <w:t xml:space="preserve"> the Carbon Storage and Sequestration Model.</w:t>
      </w:r>
      <w:r>
        <w:t xml:space="preserve"> The text file’s name includes “</w:t>
      </w:r>
      <w:r>
        <w:rPr>
          <w:i/>
        </w:rPr>
        <w:t>dateandtime</w:t>
      </w:r>
      <w:r>
        <w:t xml:space="preserve">” which </w:t>
      </w:r>
      <w:r w:rsidRPr="00F51167">
        <w:t>means that the data and time is stamped into the text’s file name</w:t>
      </w:r>
      <w:r>
        <w:t>. The text file’s name also includes a “</w:t>
      </w:r>
      <w:r w:rsidRPr="00F51167">
        <w:rPr>
          <w:i/>
        </w:rPr>
        <w:t>suffix</w:t>
      </w:r>
      <w:r>
        <w:t>” term that you choose.</w:t>
      </w:r>
    </w:p>
    <w:p w:rsidR="00DF141A" w:rsidRPr="00FC2502" w:rsidRDefault="00DF141A" w:rsidP="00DF141A"/>
    <w:p w:rsidR="00DF141A" w:rsidRDefault="00DF141A" w:rsidP="00DF141A">
      <w:pPr>
        <w:numPr>
          <w:ilvl w:val="0"/>
          <w:numId w:val="8"/>
        </w:numPr>
        <w:tabs>
          <w:tab w:val="left" w:pos="720"/>
        </w:tabs>
        <w:suppressAutoHyphens/>
      </w:pPr>
      <w:r w:rsidRPr="00D07BB4">
        <w:rPr>
          <w:i/>
        </w:rPr>
        <w:t>C_above_cur</w:t>
      </w:r>
      <w:r>
        <w:t xml:space="preserve">  – the current carbon stock for the aboveground pool</w:t>
      </w:r>
    </w:p>
    <w:p w:rsidR="00DF141A" w:rsidRDefault="00DF141A" w:rsidP="00DF141A">
      <w:pPr>
        <w:numPr>
          <w:ilvl w:val="0"/>
          <w:numId w:val="8"/>
        </w:numPr>
        <w:tabs>
          <w:tab w:val="left" w:pos="720"/>
        </w:tabs>
        <w:suppressAutoHyphens/>
      </w:pPr>
      <w:r w:rsidRPr="00D07BB4">
        <w:rPr>
          <w:i/>
        </w:rPr>
        <w:t>C_above_fut</w:t>
      </w:r>
      <w:r>
        <w:t xml:space="preserve"> –  the carbon stock for the aboveground pool for the  future scenario</w:t>
      </w:r>
    </w:p>
    <w:p w:rsidR="00DF141A" w:rsidRDefault="00DF141A" w:rsidP="00DF141A">
      <w:pPr>
        <w:numPr>
          <w:ilvl w:val="0"/>
          <w:numId w:val="8"/>
        </w:numPr>
        <w:tabs>
          <w:tab w:val="left" w:pos="720"/>
        </w:tabs>
        <w:suppressAutoHyphens/>
      </w:pPr>
      <w:r w:rsidRPr="00D07BB4">
        <w:rPr>
          <w:i/>
        </w:rPr>
        <w:t>C_below_cur</w:t>
      </w:r>
      <w:r>
        <w:t xml:space="preserve"> – the current carbon stock for the belowground pool</w:t>
      </w:r>
    </w:p>
    <w:p w:rsidR="00DF141A" w:rsidRDefault="00DF141A" w:rsidP="00DF141A">
      <w:pPr>
        <w:numPr>
          <w:ilvl w:val="0"/>
          <w:numId w:val="8"/>
        </w:numPr>
        <w:tabs>
          <w:tab w:val="left" w:pos="720"/>
        </w:tabs>
        <w:suppressAutoHyphens/>
      </w:pPr>
      <w:r w:rsidRPr="00D07BB4">
        <w:rPr>
          <w:i/>
        </w:rPr>
        <w:t>C_below_fut</w:t>
      </w:r>
      <w:r>
        <w:t xml:space="preserve"> – the carbon stock for the belowground pool for the future scenario</w:t>
      </w:r>
    </w:p>
    <w:p w:rsidR="00DF141A" w:rsidRDefault="00DF141A" w:rsidP="00DF141A">
      <w:pPr>
        <w:numPr>
          <w:ilvl w:val="0"/>
          <w:numId w:val="8"/>
        </w:numPr>
        <w:tabs>
          <w:tab w:val="left" w:pos="720"/>
        </w:tabs>
        <w:suppressAutoHyphens/>
      </w:pPr>
      <w:r w:rsidRPr="00D07BB4">
        <w:rPr>
          <w:i/>
        </w:rPr>
        <w:t>C_soil_cur</w:t>
      </w:r>
      <w:r>
        <w:t xml:space="preserve"> – the current carbon stock in soil</w:t>
      </w:r>
    </w:p>
    <w:p w:rsidR="00DF141A" w:rsidRDefault="00DF141A" w:rsidP="00DF141A">
      <w:pPr>
        <w:numPr>
          <w:ilvl w:val="0"/>
          <w:numId w:val="8"/>
        </w:numPr>
        <w:tabs>
          <w:tab w:val="left" w:pos="720"/>
        </w:tabs>
        <w:suppressAutoHyphens/>
      </w:pPr>
      <w:r w:rsidRPr="00D07BB4">
        <w:rPr>
          <w:i/>
        </w:rPr>
        <w:t>C_soil_fut</w:t>
      </w:r>
      <w:r>
        <w:t xml:space="preserve"> – the carbon stock in soil for the future scenario</w:t>
      </w:r>
    </w:p>
    <w:p w:rsidR="00DF141A" w:rsidRDefault="00DF141A" w:rsidP="00DF141A">
      <w:pPr>
        <w:numPr>
          <w:ilvl w:val="0"/>
          <w:numId w:val="8"/>
        </w:numPr>
        <w:tabs>
          <w:tab w:val="left" w:pos="720"/>
        </w:tabs>
        <w:suppressAutoHyphens/>
      </w:pPr>
      <w:r w:rsidRPr="00D07BB4">
        <w:rPr>
          <w:i/>
        </w:rPr>
        <w:t>C_dead_cur</w:t>
      </w:r>
      <w:r>
        <w:t xml:space="preserve"> – the current carbon stock in dead organic matter</w:t>
      </w:r>
    </w:p>
    <w:p w:rsidR="00DF141A" w:rsidRDefault="00DF141A" w:rsidP="00DF141A">
      <w:pPr>
        <w:numPr>
          <w:ilvl w:val="0"/>
          <w:numId w:val="8"/>
        </w:numPr>
        <w:tabs>
          <w:tab w:val="left" w:pos="720"/>
        </w:tabs>
        <w:suppressAutoHyphens/>
      </w:pPr>
      <w:r w:rsidRPr="00D07BB4">
        <w:rPr>
          <w:i/>
        </w:rPr>
        <w:t>C_dead_fut</w:t>
      </w:r>
      <w:r>
        <w:t xml:space="preserve"> – the carbon stock in dead organic matter for the future scenario</w:t>
      </w:r>
    </w:p>
    <w:p w:rsidR="00DF141A" w:rsidRPr="00F51167" w:rsidRDefault="00DF141A" w:rsidP="00DF141A">
      <w:pPr>
        <w:numPr>
          <w:ilvl w:val="0"/>
          <w:numId w:val="8"/>
        </w:numPr>
        <w:tabs>
          <w:tab w:val="left" w:pos="720"/>
        </w:tabs>
        <w:suppressAutoHyphens/>
      </w:pPr>
      <w:r w:rsidRPr="00F51167">
        <w:rPr>
          <w:i/>
        </w:rPr>
        <w:t>C_HWP_cur</w:t>
      </w:r>
      <w:r w:rsidRPr="00F51167">
        <w:t xml:space="preserve"> – carbon stored in harvested wood products for current land cover</w:t>
      </w:r>
    </w:p>
    <w:p w:rsidR="00DF141A" w:rsidRPr="00F51167" w:rsidRDefault="00DF141A" w:rsidP="00DF141A">
      <w:pPr>
        <w:numPr>
          <w:ilvl w:val="0"/>
          <w:numId w:val="8"/>
        </w:numPr>
        <w:tabs>
          <w:tab w:val="left" w:pos="720"/>
        </w:tabs>
        <w:suppressAutoHyphens/>
      </w:pPr>
      <w:r w:rsidRPr="00F51167">
        <w:rPr>
          <w:i/>
        </w:rPr>
        <w:t>C_HWP_fut</w:t>
      </w:r>
      <w:r w:rsidRPr="00F51167">
        <w:t xml:space="preserve"> – carbon stored in harvested wood products for future scenario.</w:t>
      </w:r>
    </w:p>
    <w:p w:rsidR="00DF141A" w:rsidRPr="00F51167" w:rsidRDefault="00DF141A" w:rsidP="00DF141A">
      <w:pPr>
        <w:numPr>
          <w:ilvl w:val="0"/>
          <w:numId w:val="8"/>
        </w:numPr>
        <w:tabs>
          <w:tab w:val="left" w:pos="720"/>
        </w:tabs>
        <w:suppressAutoHyphens/>
      </w:pPr>
      <w:r w:rsidRPr="00F51167">
        <w:rPr>
          <w:i/>
        </w:rPr>
        <w:t xml:space="preserve">Bio_HWP_cur </w:t>
      </w:r>
      <w:r w:rsidRPr="00F51167">
        <w:t>– biomass of wood removed since “st</w:t>
      </w:r>
      <w:r>
        <w:t>art</w:t>
      </w:r>
      <w:r w:rsidRPr="00F51167">
        <w:t>_date” for current land cover</w:t>
      </w:r>
    </w:p>
    <w:p w:rsidR="00DF141A" w:rsidRPr="00F51167" w:rsidRDefault="00DF141A" w:rsidP="00DF141A">
      <w:pPr>
        <w:numPr>
          <w:ilvl w:val="0"/>
          <w:numId w:val="8"/>
        </w:numPr>
        <w:tabs>
          <w:tab w:val="left" w:pos="720"/>
        </w:tabs>
        <w:suppressAutoHyphens/>
      </w:pPr>
      <w:r w:rsidRPr="00F51167">
        <w:rPr>
          <w:i/>
        </w:rPr>
        <w:t xml:space="preserve">Bio_HWP_fut </w:t>
      </w:r>
      <w:r w:rsidRPr="00F51167">
        <w:t>– biomass of wood removed since “st</w:t>
      </w:r>
      <w:r>
        <w:t>art</w:t>
      </w:r>
      <w:r w:rsidRPr="00F51167">
        <w:t xml:space="preserve">_date” for future land cover </w:t>
      </w:r>
    </w:p>
    <w:p w:rsidR="00DF141A" w:rsidRPr="00F51167" w:rsidRDefault="00DF141A" w:rsidP="00DF141A">
      <w:pPr>
        <w:numPr>
          <w:ilvl w:val="0"/>
          <w:numId w:val="8"/>
        </w:numPr>
        <w:tabs>
          <w:tab w:val="left" w:pos="720"/>
        </w:tabs>
        <w:suppressAutoHyphens/>
      </w:pPr>
      <w:r w:rsidRPr="00F51167">
        <w:rPr>
          <w:i/>
        </w:rPr>
        <w:t xml:space="preserve">Vol_HWP_cur </w:t>
      </w:r>
      <w:r w:rsidRPr="00F51167">
        <w:t>– volume of wood removed since “st</w:t>
      </w:r>
      <w:r>
        <w:t>art</w:t>
      </w:r>
      <w:r w:rsidRPr="00F51167">
        <w:t>_date” for current land cover</w:t>
      </w:r>
    </w:p>
    <w:p w:rsidR="00DF141A" w:rsidRPr="00F51167" w:rsidRDefault="00DF141A" w:rsidP="00DF141A">
      <w:pPr>
        <w:numPr>
          <w:ilvl w:val="0"/>
          <w:numId w:val="8"/>
        </w:numPr>
        <w:tabs>
          <w:tab w:val="left" w:pos="720"/>
        </w:tabs>
        <w:suppressAutoHyphens/>
      </w:pPr>
      <w:r w:rsidRPr="00F51167">
        <w:rPr>
          <w:i/>
        </w:rPr>
        <w:t xml:space="preserve">Vol_HWP_fut </w:t>
      </w:r>
      <w:r w:rsidRPr="00F51167">
        <w:t>– volume of wood removed since “st</w:t>
      </w:r>
      <w:r>
        <w:t>art</w:t>
      </w:r>
      <w:r w:rsidRPr="00F51167">
        <w:t>_date” for future land cover</w:t>
      </w:r>
    </w:p>
    <w:p w:rsidR="00DF141A" w:rsidRPr="00F51167" w:rsidRDefault="00DF141A" w:rsidP="00DF141A">
      <w:pPr>
        <w:numPr>
          <w:ilvl w:val="0"/>
          <w:numId w:val="8"/>
        </w:numPr>
        <w:tabs>
          <w:tab w:val="left" w:pos="720"/>
        </w:tabs>
        <w:suppressAutoHyphens/>
      </w:pPr>
      <w:r w:rsidRPr="00F51167">
        <w:rPr>
          <w:i/>
        </w:rPr>
        <w:t>lc_res_cur</w:t>
      </w:r>
      <w:r w:rsidRPr="00F51167">
        <w:t xml:space="preserve"> – the current LULC map at the resolution chosen by the user.</w:t>
      </w:r>
    </w:p>
    <w:p w:rsidR="00DF141A" w:rsidRPr="00F51167" w:rsidRDefault="00DF141A" w:rsidP="00DF141A">
      <w:pPr>
        <w:numPr>
          <w:ilvl w:val="0"/>
          <w:numId w:val="8"/>
        </w:numPr>
        <w:tabs>
          <w:tab w:val="left" w:pos="720"/>
        </w:tabs>
        <w:suppressAutoHyphens/>
      </w:pPr>
      <w:r w:rsidRPr="00F51167">
        <w:rPr>
          <w:i/>
        </w:rPr>
        <w:t>lc_res_fut</w:t>
      </w:r>
      <w:r w:rsidRPr="00F51167">
        <w:t xml:space="preserve"> – the future LULC map at the resolution chosen by the user.</w:t>
      </w:r>
    </w:p>
    <w:p w:rsidR="00DF141A" w:rsidRDefault="00DF141A" w:rsidP="00DF141A">
      <w:pPr>
        <w:numPr>
          <w:ilvl w:val="0"/>
          <w:numId w:val="8"/>
        </w:numPr>
        <w:tabs>
          <w:tab w:val="left" w:pos="720"/>
        </w:tabs>
        <w:suppressAutoHyphens/>
      </w:pPr>
      <w:r w:rsidRPr="00F51167">
        <w:rPr>
          <w:i/>
        </w:rPr>
        <w:t>Carbon_dateandtime_suffix.</w:t>
      </w:r>
      <w:r w:rsidRPr="00F51167">
        <w:t>txt – a text file that summarizes the parameter data used to run the Carbon Storage and Sequestration Model.</w:t>
      </w:r>
    </w:p>
    <w:p w:rsidR="00DF141A" w:rsidRPr="00DB7E60" w:rsidRDefault="00DF141A" w:rsidP="00DF141A">
      <w:pPr>
        <w:tabs>
          <w:tab w:val="left" w:pos="720"/>
        </w:tabs>
        <w:suppressAutoHyphens/>
      </w:pPr>
    </w:p>
    <w:p w:rsidR="00DF141A" w:rsidRDefault="00DF141A" w:rsidP="00DF141A">
      <w:pPr>
        <w:pStyle w:val="Heading2"/>
        <w:ind w:left="-270"/>
        <w:rPr>
          <w:rFonts w:ascii="Cambria" w:hAnsi="Cambria"/>
        </w:rPr>
      </w:pPr>
    </w:p>
    <w:p w:rsidR="00DF141A" w:rsidRPr="008E6033" w:rsidRDefault="00DF141A" w:rsidP="00DF141A">
      <w:pPr>
        <w:pStyle w:val="Heading2"/>
        <w:ind w:left="-270"/>
        <w:rPr>
          <w:rFonts w:ascii="Cambria" w:hAnsi="Cambria"/>
        </w:rPr>
      </w:pPr>
      <w:bookmarkStart w:id="31" w:name="_Toc255992057"/>
      <w:bookmarkStart w:id="32" w:name="_Toc158980580"/>
      <w:r w:rsidRPr="008E6033">
        <w:rPr>
          <w:rFonts w:ascii="Cambria" w:hAnsi="Cambria"/>
        </w:rPr>
        <w:t>Appendix: data sources</w:t>
      </w:r>
      <w:bookmarkEnd w:id="31"/>
      <w:bookmarkEnd w:id="32"/>
    </w:p>
    <w:p w:rsidR="00DF141A" w:rsidRDefault="00DF141A" w:rsidP="00DF141A">
      <w:pPr>
        <w:jc w:val="both"/>
      </w:pPr>
      <w:r>
        <w:t>This is a rough compilation of data sources and suggestions for finding, compiling, and formatting data. This section should be used for ideas and suggestions only. This section is updated as new data sources and methods become available.</w:t>
      </w:r>
    </w:p>
    <w:p w:rsidR="00DF141A" w:rsidRDefault="00DF141A" w:rsidP="00DF141A">
      <w:pPr>
        <w:jc w:val="both"/>
      </w:pPr>
    </w:p>
    <w:p w:rsidR="00DF141A" w:rsidRDefault="00DF141A" w:rsidP="00DF141A">
      <w:pPr>
        <w:numPr>
          <w:ilvl w:val="0"/>
          <w:numId w:val="10"/>
        </w:numPr>
        <w:tabs>
          <w:tab w:val="clear" w:pos="360"/>
          <w:tab w:val="left" w:pos="0"/>
        </w:tabs>
        <w:suppressAutoHyphens/>
        <w:ind w:left="0"/>
        <w:jc w:val="both"/>
        <w:rPr>
          <w:b/>
        </w:rPr>
      </w:pPr>
      <w:r>
        <w:rPr>
          <w:b/>
        </w:rPr>
        <w:t>Land use/land cover map</w:t>
      </w:r>
    </w:p>
    <w:p w:rsidR="00DF141A" w:rsidRDefault="00DF141A" w:rsidP="00DF141A">
      <w:pPr>
        <w:jc w:val="both"/>
      </w:pPr>
      <w:r>
        <w:lastRenderedPageBreak/>
        <w:t xml:space="preserve">The simplest categorization of LULCs on the landscape involves delineation by land cover only (e.g., cropland, temperate conifer forest, prairie). Several global and regional land cover classifications are available (e.g., Anderson et al. 1976), and often detailed land cover classification has been done for the landscape of interest.  </w:t>
      </w:r>
    </w:p>
    <w:p w:rsidR="00DF141A" w:rsidRDefault="00DF141A" w:rsidP="00DF141A">
      <w:pPr>
        <w:jc w:val="both"/>
      </w:pPr>
    </w:p>
    <w:p w:rsidR="00DF141A" w:rsidRDefault="00DF141A" w:rsidP="00DF141A">
      <w:pPr>
        <w:jc w:val="both"/>
      </w:pPr>
      <w:r>
        <w:t>A slightly more sophisticated LULC classification could involve breaking relevant LULC types into broad age categories (e.g., forest of age 0-10 years, 11-20, 21-40, etc.). This would allow separate estimates of carbon storage for different ages. In scenarios, parcels can move from one age class to the next, crudely capturing changes in carbon storage over time. This approach requires more information, however, including carbon storage estimates for each age class for all modeled pools of carbon.</w:t>
      </w:r>
    </w:p>
    <w:p w:rsidR="00DF141A" w:rsidRDefault="00DF141A" w:rsidP="00DF141A"/>
    <w:p w:rsidR="00DF141A" w:rsidRDefault="00DF141A" w:rsidP="00DF141A">
      <w:pPr>
        <w:jc w:val="both"/>
      </w:pPr>
      <w:r>
        <w:t>A still more detailed classification could stratify LULC types by variables known to affect carbon storage within a given LULC ty</w:t>
      </w:r>
      <w:r w:rsidRPr="00A17781">
        <w:t>pe (e.g., montane forest 800-1000m, mo</w:t>
      </w:r>
      <w:r>
        <w:t>ntane forest 1001-1200m, etc.).</w:t>
      </w:r>
      <w:r w:rsidRPr="00A17781">
        <w:t xml:space="preserve"> Rainfall, temperature, and elevation all typically influence carbon storage and sequestration (e.g., Jenny 1980, Coomes </w:t>
      </w:r>
      <w:r w:rsidRPr="00C6258C">
        <w:rPr>
          <w:i/>
        </w:rPr>
        <w:t>et al</w:t>
      </w:r>
      <w:r w:rsidRPr="00A17781">
        <w:t>. 20</w:t>
      </w:r>
      <w:r>
        <w:t xml:space="preserve">02, Raich </w:t>
      </w:r>
      <w:r w:rsidRPr="00C6258C">
        <w:rPr>
          <w:i/>
        </w:rPr>
        <w:t>et al</w:t>
      </w:r>
      <w:r>
        <w:t>. 2006). If data are available to estimate carbon storage at different elevations, or at different levels of rainfall, temperature or other climate variables, model results will be substantially more accurate. This will typically take a large sample of plot estimates of carbon storage.</w:t>
      </w:r>
    </w:p>
    <w:p w:rsidR="00DF141A" w:rsidRDefault="00DF141A" w:rsidP="00DF141A">
      <w:pPr>
        <w:ind w:left="720"/>
      </w:pPr>
    </w:p>
    <w:p w:rsidR="00DF141A" w:rsidRDefault="00DF141A" w:rsidP="00DF141A">
      <w:pPr>
        <w:numPr>
          <w:ilvl w:val="0"/>
          <w:numId w:val="10"/>
        </w:numPr>
        <w:tabs>
          <w:tab w:val="clear" w:pos="360"/>
          <w:tab w:val="left" w:pos="0"/>
        </w:tabs>
        <w:suppressAutoHyphens/>
        <w:ind w:left="0"/>
        <w:rPr>
          <w:b/>
        </w:rPr>
      </w:pPr>
      <w:r>
        <w:rPr>
          <w:b/>
        </w:rPr>
        <w:t>Carbon stocks</w:t>
      </w:r>
    </w:p>
    <w:p w:rsidR="00DF141A" w:rsidRDefault="00DF141A" w:rsidP="00DF141A">
      <w:pPr>
        <w:tabs>
          <w:tab w:val="left" w:pos="0"/>
        </w:tabs>
        <w:suppressAutoHyphens/>
        <w:rPr>
          <w:b/>
        </w:rPr>
      </w:pPr>
    </w:p>
    <w:p w:rsidR="00DF141A" w:rsidRDefault="00DF141A" w:rsidP="00DF141A">
      <w:pPr>
        <w:jc w:val="both"/>
      </w:pPr>
      <w:r>
        <w:t xml:space="preserve">Carbon storage data should be set equal to the average carbon storage values for each LULC class. The ideal data source for all carbon stocks is a set of local field estimates, where carbon storage for all relevant stocks has been directly measured. These can be summarized to the LULC map, including any stratification by age or other variable. If these data are not available, however, there are several general data sources that can be used. </w:t>
      </w:r>
    </w:p>
    <w:p w:rsidR="00DF141A" w:rsidRDefault="00DF141A" w:rsidP="00DF141A"/>
    <w:p w:rsidR="00DF141A" w:rsidRDefault="00DF141A" w:rsidP="00DF141A">
      <w:pPr>
        <w:jc w:val="both"/>
      </w:pPr>
      <w:r>
        <w:t>Note that several sources, including IPCC (2006), report in units of biomass, while InVEST uses mass of elemental carbon. To convert metric tons of biomass to metric tons of C, multiply by a conversion factor, which varies typically from 0.43 to 0.51. Conversion factors for different major tree types and climatic regions are listed in Table 4.3 on page 4.48 of IPCC (2006).</w:t>
      </w:r>
    </w:p>
    <w:p w:rsidR="00DF141A" w:rsidRDefault="00DF141A" w:rsidP="00DF141A"/>
    <w:p w:rsidR="00DF141A" w:rsidRDefault="00DF141A" w:rsidP="00DF141A"/>
    <w:p w:rsidR="00DF141A" w:rsidRDefault="00DF141A" w:rsidP="00DF141A">
      <w:pPr>
        <w:numPr>
          <w:ilvl w:val="1"/>
          <w:numId w:val="10"/>
        </w:numPr>
        <w:tabs>
          <w:tab w:val="left" w:pos="450"/>
        </w:tabs>
        <w:suppressAutoHyphens/>
        <w:spacing w:after="200" w:line="276" w:lineRule="auto"/>
        <w:ind w:left="450"/>
        <w:rPr>
          <w:b/>
          <w:i/>
        </w:rPr>
      </w:pPr>
      <w:r>
        <w:rPr>
          <w:b/>
          <w:i/>
        </w:rPr>
        <w:t>Carbon stored in aboveground biomass</w:t>
      </w:r>
    </w:p>
    <w:p w:rsidR="00DF141A" w:rsidRDefault="00DF141A" w:rsidP="00DF141A">
      <w:pPr>
        <w:jc w:val="both"/>
      </w:pPr>
      <w:r>
        <w:t>A good but very general source of data for carbon storage is the Intergovernmental Panel on Climate Change’s (IPCC) 2006 methodology for determining greenhouse gas inventories in the Agriculture, Forestry and Other Land Use (AFOLU) sector (</w:t>
      </w:r>
      <w:hyperlink r:id="rId38" w:history="1">
        <w:r w:rsidRPr="000D2E7D">
          <w:rPr>
            <w:rStyle w:val="Hyperlink"/>
          </w:rPr>
          <w:t>http://www.ipcc-nggip.iges.or.jp/public/2006gl/vol4.html</w:t>
        </w:r>
      </w:hyperlink>
      <w:r>
        <w:t>,IPCC 2006). To use this set of information from the IPCC, you must know your site’s climate domain and region; use data from Table 4.1 on page 4.46 and a digital copy of the Food and Agriculture Organization of the United Nations’ (FAO) eco-region map (</w:t>
      </w:r>
      <w:hyperlink r:id="rId39" w:history="1">
        <w:r>
          <w:rPr>
            <w:rStyle w:val="Hyperlink"/>
          </w:rPr>
          <w:t>http://www.fao.org/geonetwork/srv/en/main.home</w:t>
        </w:r>
      </w:hyperlink>
      <w:r>
        <w:t xml:space="preserve">) to figure that out. Tables 5.1 through 5.3 (p. 5.9) of IPCC (2006) give estimates for aboveground biomass in agriculture land with perennial woody biomass (e.g., fruit orchards, agroforestry, etc.). Tables 4.7, 4.8, and 4.12 give aboveground biomass estimates for natural and plantation forest types. Recently, </w:t>
      </w:r>
      <w:r w:rsidRPr="0011721C">
        <w:t>Rue</w:t>
      </w:r>
      <w:r>
        <w:t xml:space="preserve">sch </w:t>
      </w:r>
      <w:r>
        <w:lastRenderedPageBreak/>
        <w:t xml:space="preserve">and Gibbs (2008) mapped the IPCC (2006) aboveground biomass carbon storage data given year 2000 land cover data. </w:t>
      </w:r>
    </w:p>
    <w:p w:rsidR="00DF141A" w:rsidRDefault="00DF141A" w:rsidP="00DF141A">
      <w:pPr>
        <w:jc w:val="both"/>
      </w:pPr>
    </w:p>
    <w:p w:rsidR="00DF141A" w:rsidRDefault="00DF141A" w:rsidP="00DF141A">
      <w:pPr>
        <w:jc w:val="both"/>
      </w:pPr>
    </w:p>
    <w:p w:rsidR="00DF141A" w:rsidRDefault="00DF141A" w:rsidP="00DF141A">
      <w:pPr>
        <w:autoSpaceDE w:val="0"/>
        <w:jc w:val="both"/>
      </w:pPr>
      <w:r>
        <w:t xml:space="preserve">Other general sources of carbon storage estimates can be found. </w:t>
      </w:r>
      <w:r w:rsidRPr="007F1E72">
        <w:rPr>
          <w:lang w:val="fr-FR"/>
        </w:rPr>
        <w:t xml:space="preserve">For example, Grace et al. </w:t>
      </w:r>
      <w:r>
        <w:t xml:space="preserve">(2006) estimate the average aboveground carbon storage (leaf + wood) for major savanna ecosystems around the world (Table 1). Houghton (2005) gives aboveground carbon storage for natural and plantation forest types, by continent (Tables 1 and 3). Brown et al. (1989) give aboveground biomass estimatesfor tropical broadleaf forests as a function of land-use: undisturbed, logged, nonproductive (Table 7).   </w:t>
      </w:r>
    </w:p>
    <w:p w:rsidR="00DF141A" w:rsidRDefault="00DF141A" w:rsidP="00DF141A">
      <w:pPr>
        <w:autoSpaceDE w:val="0"/>
      </w:pPr>
    </w:p>
    <w:p w:rsidR="00DF141A" w:rsidRDefault="00DF141A" w:rsidP="00DF141A">
      <w:pPr>
        <w:autoSpaceDE w:val="0"/>
      </w:pPr>
      <w:r>
        <w:t>Region-specific sources of carbon storage data are also available. Those we’ve found include:</w:t>
      </w:r>
    </w:p>
    <w:p w:rsidR="00DF141A" w:rsidRDefault="00DF141A" w:rsidP="00DF141A">
      <w:pPr>
        <w:numPr>
          <w:ilvl w:val="0"/>
          <w:numId w:val="7"/>
        </w:numPr>
        <w:tabs>
          <w:tab w:val="left" w:pos="720"/>
        </w:tabs>
        <w:suppressAutoHyphens/>
        <w:autoSpaceDE w:val="0"/>
        <w:spacing w:after="200"/>
        <w:jc w:val="both"/>
      </w:pPr>
      <w:r w:rsidRPr="007F1E72">
        <w:rPr>
          <w:b/>
        </w:rPr>
        <w:t>Latin America</w:t>
      </w:r>
      <w:r w:rsidRPr="007F1E72">
        <w:t xml:space="preserve">: Malhi </w:t>
      </w:r>
      <w:r w:rsidRPr="007F1E72">
        <w:rPr>
          <w:i/>
        </w:rPr>
        <w:t>et al</w:t>
      </w:r>
      <w:r w:rsidRPr="007F1E72">
        <w:t xml:space="preserve">. (2006) report aboveground biomass volumes for 227 lowland forest plots in Bolivia, Brazil, Colombia, Ecuador, French Guinea, Guyana, Panama, Peru, and Venezuela. </w:t>
      </w:r>
      <w:r>
        <w:t xml:space="preserve">Nascimento and Laurance (2002) estimate aboveground carbon stocks in twenty 1-ha plots of Amazonian rainforest. Tiessen </w:t>
      </w:r>
      <w:r w:rsidRPr="00C6258C">
        <w:rPr>
          <w:i/>
        </w:rPr>
        <w:t>et al</w:t>
      </w:r>
      <w:r>
        <w:t xml:space="preserve">. (1998) find aboveground carbon stocks for the Brazilian savanna types Caatingas and Cerrados. </w:t>
      </w:r>
    </w:p>
    <w:p w:rsidR="00DF141A" w:rsidRDefault="00DF141A" w:rsidP="00DF141A">
      <w:pPr>
        <w:numPr>
          <w:ilvl w:val="0"/>
          <w:numId w:val="5"/>
        </w:numPr>
        <w:tabs>
          <w:tab w:val="left" w:pos="720"/>
        </w:tabs>
        <w:suppressAutoHyphens/>
        <w:autoSpaceDE w:val="0"/>
        <w:spacing w:after="200"/>
        <w:jc w:val="both"/>
      </w:pPr>
      <w:r w:rsidRPr="00542E17">
        <w:rPr>
          <w:b/>
        </w:rPr>
        <w:t>Africa</w:t>
      </w:r>
      <w:r>
        <w:t xml:space="preserve">: Zhang and Justice (2001) report aboveground carbon stocks for major forest and shrub LULC types for central African countries. Tiessen </w:t>
      </w:r>
      <w:r w:rsidRPr="00C6258C">
        <w:rPr>
          <w:i/>
        </w:rPr>
        <w:t>et al</w:t>
      </w:r>
      <w:r>
        <w:t>. (1998) estimates total aboveground biomass of degraded savanna in Senegal. Makundi (2001) reports mean annual incremental growth for three forest plantation types in Tanzania. Malimbwi et al. (1994) estimates aboveground carbon stocks in the miombo woodlands of Kitungalo Forest Reserve Tanzania. Munishi and Shear (2004) report aboveground carbon stocks in the Afromontane rain forests of the Eastern Arc Mountains of Tanzania. Glenday (2006) estimates aboveground carbon stocks for 3 forest types in the Kakamega National Forest of western Kenya.</w:t>
      </w:r>
    </w:p>
    <w:p w:rsidR="00DF141A" w:rsidRDefault="00DF141A" w:rsidP="00DF141A">
      <w:pPr>
        <w:numPr>
          <w:ilvl w:val="0"/>
          <w:numId w:val="5"/>
        </w:numPr>
        <w:tabs>
          <w:tab w:val="left" w:pos="720"/>
        </w:tabs>
        <w:suppressAutoHyphens/>
        <w:autoSpaceDE w:val="0"/>
        <w:spacing w:after="200"/>
      </w:pPr>
      <w:r w:rsidRPr="005C74F6">
        <w:rPr>
          <w:b/>
        </w:rPr>
        <w:t>North America</w:t>
      </w:r>
      <w:r>
        <w:t xml:space="preserve">: Smith </w:t>
      </w:r>
      <w:r w:rsidRPr="00C6258C">
        <w:rPr>
          <w:i/>
        </w:rPr>
        <w:t>et al</w:t>
      </w:r>
      <w:r>
        <w:t xml:space="preserve">. (2006) estimate aboveground carbon stocks for all major forest types in the US. </w:t>
      </w:r>
    </w:p>
    <w:p w:rsidR="00DF141A" w:rsidRDefault="00DF141A" w:rsidP="00DF141A">
      <w:pPr>
        <w:numPr>
          <w:ilvl w:val="0"/>
          <w:numId w:val="5"/>
        </w:numPr>
        <w:tabs>
          <w:tab w:val="left" w:pos="720"/>
        </w:tabs>
        <w:suppressAutoHyphens/>
        <w:autoSpaceDE w:val="0"/>
        <w:spacing w:after="200"/>
        <w:jc w:val="both"/>
      </w:pPr>
      <w:r>
        <w:t>The Carbon On Line Estimator (</w:t>
      </w:r>
      <w:hyperlink r:id="rId40" w:history="1">
        <w:r>
          <w:rPr>
            <w:rStyle w:val="Hyperlink"/>
          </w:rPr>
          <w:t>http://ncasi.uml.edu/COLE/</w:t>
        </w:r>
      </w:hyperlink>
      <w:r>
        <w:t xml:space="preserve">) is a tool for calculating carbon characteristics in </w:t>
      </w:r>
      <w:r w:rsidRPr="003B319C">
        <w:rPr>
          <w:b/>
        </w:rPr>
        <w:t>U.S. forests</w:t>
      </w:r>
      <w:r>
        <w:t xml:space="preserve"> based on USDA Forest Service Forest Inventory &amp; Analysis and Resource Planning Assessment data. With this tool, carbon characteristics can be examined at the scale of counties. Using the variables tab, aboveground, belowground, soil, or dead wood carbon pools can be selected.</w:t>
      </w:r>
    </w:p>
    <w:p w:rsidR="00DF141A" w:rsidRDefault="00DF141A" w:rsidP="00DF141A">
      <w:pPr>
        <w:numPr>
          <w:ilvl w:val="0"/>
          <w:numId w:val="5"/>
        </w:numPr>
        <w:tabs>
          <w:tab w:val="left" w:pos="720"/>
        </w:tabs>
        <w:suppressAutoHyphens/>
        <w:autoSpaceDE w:val="0"/>
        <w:spacing w:after="200"/>
      </w:pPr>
      <w:r>
        <w:t xml:space="preserve">Other: Coomes </w:t>
      </w:r>
      <w:r w:rsidRPr="00C6258C">
        <w:rPr>
          <w:i/>
        </w:rPr>
        <w:t>et al</w:t>
      </w:r>
      <w:r>
        <w:t xml:space="preserve">. (2002) estimate aboveground carbon stocks for native shrubland and forest types in </w:t>
      </w:r>
      <w:r w:rsidRPr="005C74F6">
        <w:rPr>
          <w:b/>
        </w:rPr>
        <w:t>New Zealand</w:t>
      </w:r>
      <w:r>
        <w:t xml:space="preserve">.  </w:t>
      </w:r>
    </w:p>
    <w:p w:rsidR="00DF141A" w:rsidRDefault="00DF141A" w:rsidP="00DF141A">
      <w:pPr>
        <w:autoSpaceDE w:val="0"/>
        <w:jc w:val="both"/>
      </w:pPr>
      <w:r>
        <w:t xml:space="preserve">One can also calculate aboveground biomass (and therefore carbon stocks) from </w:t>
      </w:r>
      <w:r w:rsidRPr="005C74F6">
        <w:rPr>
          <w:i/>
        </w:rPr>
        <w:t>timber inventories</w:t>
      </w:r>
      <w:r>
        <w:t>, which are often done by forestry ministries on a set of plots. Use the following formula to estimate the aboveground carbon stock in a forest stand that has been inventoried for its merchantable volume,</w:t>
      </w:r>
      <w:r>
        <w:rPr>
          <w:noProof/>
          <w:position w:val="-12"/>
        </w:rPr>
        <w:drawing>
          <wp:inline distT="0" distB="0" distL="0" distR="0">
            <wp:extent cx="1666240" cy="203200"/>
            <wp:effectExtent l="25400" t="0" r="1016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1"/>
                    <a:srcRect/>
                    <a:stretch>
                      <a:fillRect/>
                    </a:stretch>
                  </pic:blipFill>
                  <pic:spPr bwMode="auto">
                    <a:xfrm>
                      <a:off x="0" y="0"/>
                      <a:ext cx="1666240" cy="203200"/>
                    </a:xfrm>
                    <a:prstGeom prst="rect">
                      <a:avLst/>
                    </a:prstGeom>
                    <a:solidFill>
                      <a:srgbClr val="FFFFFF"/>
                    </a:solidFill>
                    <a:ln w="9525">
                      <a:noFill/>
                      <a:miter lim="800000"/>
                      <a:headEnd/>
                      <a:tailEnd/>
                    </a:ln>
                  </pic:spPr>
                </pic:pic>
              </a:graphicData>
            </a:graphic>
          </wp:inline>
        </w:drawing>
      </w:r>
      <w:r>
        <w:t xml:space="preserve">where </w:t>
      </w:r>
      <w:r>
        <w:rPr>
          <w:i/>
        </w:rPr>
        <w:t>VOB</w:t>
      </w:r>
      <w:r>
        <w:t xml:space="preserve"> is the per-hectare volume of trees in cubic meters measured from tree stump to crown point (the merchantable portion of the tree), </w:t>
      </w:r>
      <w:r>
        <w:rPr>
          <w:i/>
        </w:rPr>
        <w:t>WD</w:t>
      </w:r>
      <w:r>
        <w:t xml:space="preserve"> is the wood density of trees (dry biomass per unit of tree volume), </w:t>
      </w:r>
      <w:r>
        <w:rPr>
          <w:i/>
        </w:rPr>
        <w:t>BEF</w:t>
      </w:r>
      <w:r>
        <w:t xml:space="preserve"> is the ratio of total aboveground dry biomass to dry biomass of inventoried volume, and </w:t>
      </w:r>
      <w:r>
        <w:rPr>
          <w:i/>
        </w:rPr>
        <w:t xml:space="preserve">CF </w:t>
      </w:r>
      <w:r>
        <w:t xml:space="preserve">is the ratio of </w:t>
      </w:r>
      <w:r>
        <w:lastRenderedPageBreak/>
        <w:t xml:space="preserve">elemental carbon to dry biomass, by mass (Brown 1997). The biomass expansion factor (BEF) accounts for C stored in all other portions of the tree aboveground (e.g., branches, bark, stems, foliage, etc; the non-merchantable portions of the tree). In most cases </w:t>
      </w:r>
      <w:r>
        <w:rPr>
          <w:i/>
        </w:rPr>
        <w:t>WD</w:t>
      </w:r>
      <w:r>
        <w:t xml:space="preserve"> for a plot is approximated with values for dominant species. Brown (1997) provides a table of </w:t>
      </w:r>
      <w:r>
        <w:rPr>
          <w:i/>
        </w:rPr>
        <w:t>WD</w:t>
      </w:r>
      <w:r>
        <w:t xml:space="preserve"> values for many tree species in Appendix 1 of section 3 and a method for calculating </w:t>
      </w:r>
      <w:r>
        <w:rPr>
          <w:i/>
        </w:rPr>
        <w:t>BEF</w:t>
      </w:r>
      <w:r>
        <w:t xml:space="preserve"> (Equation 3.1.4). See ECCM (2007) for an application of this FAO method to forest inventory data from eastern Tanzania. IPCC (2006) also presents estimates of (</w:t>
      </w:r>
      <w:r>
        <w:rPr>
          <w:noProof/>
          <w:position w:val="-12"/>
        </w:rPr>
        <w:drawing>
          <wp:inline distT="0" distB="0" distL="0" distR="0">
            <wp:extent cx="721360" cy="203200"/>
            <wp:effectExtent l="2540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a:srcRect/>
                    <a:stretch>
                      <a:fillRect/>
                    </a:stretch>
                  </pic:blipFill>
                  <pic:spPr bwMode="auto">
                    <a:xfrm>
                      <a:off x="0" y="0"/>
                      <a:ext cx="721360" cy="203200"/>
                    </a:xfrm>
                    <a:prstGeom prst="rect">
                      <a:avLst/>
                    </a:prstGeom>
                    <a:solidFill>
                      <a:srgbClr val="FFFFFF"/>
                    </a:solidFill>
                    <a:ln w="9525">
                      <a:noFill/>
                      <a:miter lim="800000"/>
                      <a:headEnd/>
                      <a:tailEnd/>
                    </a:ln>
                  </pic:spPr>
                </pic:pic>
              </a:graphicData>
            </a:graphic>
          </wp:inline>
        </w:drawing>
      </w:r>
      <w:r>
        <w:t xml:space="preserve">) where BEF values for hardwood, pine, conifer, and natural forest stands by eco-region are given in Table 4.5 and </w:t>
      </w:r>
      <w:r>
        <w:rPr>
          <w:i/>
        </w:rPr>
        <w:t>WD</w:t>
      </w:r>
      <w:r>
        <w:t xml:space="preserve"> values for many species are given in Tables 4.13 and 4.14. (Use the BCEF values in Table 4.5 that are subscripted by </w:t>
      </w:r>
      <w:r>
        <w:rPr>
          <w:i/>
        </w:rPr>
        <w:t>S</w:t>
      </w:r>
      <w:r>
        <w:t xml:space="preserve">.) Finally, Brown </w:t>
      </w:r>
      <w:r w:rsidRPr="00905D67">
        <w:rPr>
          <w:i/>
        </w:rPr>
        <w:t>et al</w:t>
      </w:r>
      <w:r>
        <w:t xml:space="preserve">. (1989) give </w:t>
      </w:r>
      <w:r>
        <w:rPr>
          <w:i/>
        </w:rPr>
        <w:t xml:space="preserve">BEF </w:t>
      </w:r>
      <w:r>
        <w:t>for tropical broadleaf forests under three land uses: undisturbed, logged, and nonproductive.</w:t>
      </w:r>
    </w:p>
    <w:p w:rsidR="00DF141A" w:rsidRDefault="00DF141A" w:rsidP="00DF141A">
      <w:pPr>
        <w:autoSpaceDE w:val="0"/>
      </w:pPr>
    </w:p>
    <w:p w:rsidR="00DF141A" w:rsidRDefault="00DF141A" w:rsidP="00DF141A">
      <w:pPr>
        <w:autoSpaceDE w:val="0"/>
        <w:jc w:val="both"/>
      </w:pPr>
      <w:r>
        <w:t xml:space="preserve">Brown (1997) attaches several caveats to the use of the above equation. First, the equation </w:t>
      </w:r>
      <w:r>
        <w:rPr>
          <w:noProof/>
          <w:position w:val="-12"/>
        </w:rPr>
        <w:drawing>
          <wp:inline distT="0" distB="0" distL="0" distR="0">
            <wp:extent cx="1666240" cy="203200"/>
            <wp:effectExtent l="25400" t="0" r="1016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3"/>
                    <a:srcRect/>
                    <a:stretch>
                      <a:fillRect/>
                    </a:stretch>
                  </pic:blipFill>
                  <pic:spPr bwMode="auto">
                    <a:xfrm>
                      <a:off x="0" y="0"/>
                      <a:ext cx="1666240" cy="203200"/>
                    </a:xfrm>
                    <a:prstGeom prst="rect">
                      <a:avLst/>
                    </a:prstGeom>
                    <a:solidFill>
                      <a:srgbClr val="FFFFFF"/>
                    </a:solidFill>
                    <a:ln w="9525">
                      <a:noFill/>
                      <a:miter lim="800000"/>
                      <a:headEnd/>
                      <a:tailEnd/>
                    </a:ln>
                  </pic:spPr>
                </pic:pic>
              </a:graphicData>
            </a:graphic>
          </wp:inline>
        </w:drawing>
      </w:r>
      <w:r>
        <w:t xml:space="preserve">is designed for </w:t>
      </w:r>
      <w:r w:rsidRPr="00905D67">
        <w:rPr>
          <w:i/>
        </w:rPr>
        <w:t>inventoried stands that are closed</w:t>
      </w:r>
      <w:r>
        <w:t xml:space="preserve"> as opposed to open (forests with sparser canopy coverage such as oak savanna). Second, </w:t>
      </w:r>
      <w:r>
        <w:rPr>
          <w:i/>
        </w:rPr>
        <w:t>VOB</w:t>
      </w:r>
      <w:r>
        <w:t xml:space="preserve"> estimates should be a function of </w:t>
      </w:r>
      <w:r w:rsidRPr="00905D67">
        <w:rPr>
          <w:i/>
        </w:rPr>
        <w:t>all tree species</w:t>
      </w:r>
      <w:r>
        <w:t xml:space="preserve"> found in the stand, not just the economically most valuable wood. Third, trees with </w:t>
      </w:r>
      <w:r w:rsidRPr="00905D67">
        <w:rPr>
          <w:i/>
        </w:rPr>
        <w:t>diameters as low as 10 centimeters</w:t>
      </w:r>
      <w:r>
        <w:t xml:space="preserve"> at breast height (DBH = 10) need to be included in the inventory if this aboveground biomass carbon equation is to be as accurate as possible. Brown (2002) also notes that the use of a single BEF value is a simplification of the actual biomass growth process.</w:t>
      </w:r>
    </w:p>
    <w:p w:rsidR="00DF141A" w:rsidRDefault="00DF141A" w:rsidP="00DF141A">
      <w:pPr>
        <w:autoSpaceDE w:val="0"/>
      </w:pPr>
    </w:p>
    <w:p w:rsidR="00DF141A" w:rsidRDefault="00DF141A" w:rsidP="00DF141A">
      <w:pPr>
        <w:autoSpaceDE w:val="0"/>
        <w:jc w:val="both"/>
      </w:pPr>
      <w:r>
        <w:t xml:space="preserve">These caveats lead Brown (2002) to recommend the use of allometric biomass equations to estimate woody aboveground biomass if available. These equations give the estimated relationship between a stand’s distribution of different-sized trees and the stand’s aboveground biomass. Brown (1997) and Brown and Schroeder (1999) provide general aboveground biomass allometric equations for all global eco-regions and the eastern US, respectively. Cairns </w:t>
      </w:r>
      <w:r w:rsidRPr="00905D67">
        <w:rPr>
          <w:i/>
        </w:rPr>
        <w:t>et al</w:t>
      </w:r>
      <w:r>
        <w:t>. (2000) provide aboveground biomass allometric equations for LULC types in southern Mexico. Nascimento and Laurance (2002) estimate Amazonian rainforest aboveground biomass using allometric curves. The use of these equations requires knowledge of the distribution of tree size in a given stand.</w:t>
      </w:r>
    </w:p>
    <w:p w:rsidR="00DF141A" w:rsidRDefault="00DF141A" w:rsidP="00DF141A">
      <w:pPr>
        <w:autoSpaceDE w:val="0"/>
        <w:jc w:val="both"/>
      </w:pPr>
    </w:p>
    <w:p w:rsidR="00DF141A" w:rsidRDefault="00DF141A" w:rsidP="00DF141A">
      <w:pPr>
        <w:autoSpaceDE w:val="0"/>
        <w:jc w:val="both"/>
      </w:pPr>
      <w:r>
        <w:t>Some researchers have made use of these equations a bit easier by first relating a stand’s distribution of different-sized trees to its age and then mapping the relationship between age and aboveground biomass (i.e.,</w:t>
      </w:r>
      <w:r>
        <w:rPr>
          <w:noProof/>
          <w:position w:val="-12"/>
        </w:rPr>
        <w:drawing>
          <wp:inline distT="0" distB="0" distL="0" distR="0">
            <wp:extent cx="1259840" cy="203200"/>
            <wp:effectExtent l="25400" t="0" r="1016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44"/>
                    <a:srcRect/>
                    <a:stretch>
                      <a:fillRect/>
                    </a:stretch>
                  </pic:blipFill>
                  <pic:spPr bwMode="auto">
                    <a:xfrm>
                      <a:off x="0" y="0"/>
                      <a:ext cx="1259840" cy="203200"/>
                    </a:xfrm>
                    <a:prstGeom prst="rect">
                      <a:avLst/>
                    </a:prstGeom>
                    <a:solidFill>
                      <a:srgbClr val="FFFFFF"/>
                    </a:solidFill>
                    <a:ln w="9525">
                      <a:noFill/>
                      <a:miter lim="800000"/>
                      <a:headEnd/>
                      <a:tailEnd/>
                    </a:ln>
                  </pic:spPr>
                </pic:pic>
              </a:graphicData>
            </a:graphic>
          </wp:inline>
        </w:drawing>
      </w:r>
      <w:r>
        <w:t xml:space="preserve">). For example, Silver et al. (2000) have estimated aboveground biomass as a function of stand age (i.e., years since afforestation/ reforestation) or previous LULC for native forest types in tropical ecosystems. Smith </w:t>
      </w:r>
      <w:r w:rsidRPr="00D70F35">
        <w:rPr>
          <w:i/>
        </w:rPr>
        <w:t>et al</w:t>
      </w:r>
      <w:r>
        <w:t>. (2006) take the transformation of allometric equations one step further by relating age to total biomass carbon (belowground plus aboveground) directly for various US forests.</w:t>
      </w:r>
    </w:p>
    <w:p w:rsidR="00DF141A" w:rsidRDefault="00DF141A" w:rsidP="00DF141A">
      <w:pPr>
        <w:autoSpaceDE w:val="0"/>
        <w:jc w:val="both"/>
      </w:pPr>
    </w:p>
    <w:p w:rsidR="00DF141A" w:rsidRDefault="00DF141A" w:rsidP="00DF141A">
      <w:pPr>
        <w:autoSpaceDE w:val="0"/>
        <w:jc w:val="both"/>
      </w:pPr>
      <w:r>
        <w:t xml:space="preserve">When using IPCC data or other similar broad data sources, one final issue to consider is how the </w:t>
      </w:r>
      <w:r w:rsidRPr="00C5466D">
        <w:rPr>
          <w:i/>
        </w:rPr>
        <w:t>level of anthropogenic disturbance affects carbon stocks</w:t>
      </w:r>
      <w:r>
        <w:t xml:space="preserve">. The aboveground C stock of highly disturbed areas will likely be lower than the stocks of undisturbed areas. It is not clear what type of disturbance levels IPCC or other such sources assume when reporting aboveground biomass estimates. If forest disturbance is an issue in the demonstration site, LULC types should be stratified by levels of disturbance. For an example of such stratification see Table 2.5, page 14 of </w:t>
      </w:r>
      <w:r>
        <w:lastRenderedPageBreak/>
        <w:t>ECCM (2007). The effect of this disturbance on C storage in harvested wood products (HWPs) is discussed below.</w:t>
      </w:r>
    </w:p>
    <w:p w:rsidR="00DF141A" w:rsidRDefault="00DF141A" w:rsidP="00DF141A">
      <w:pPr>
        <w:autoSpaceDE w:val="0"/>
        <w:jc w:val="both"/>
      </w:pPr>
    </w:p>
    <w:p w:rsidR="00DF141A" w:rsidRDefault="00DF141A" w:rsidP="00DF141A">
      <w:pPr>
        <w:autoSpaceDE w:val="0"/>
        <w:jc w:val="both"/>
      </w:pPr>
      <w:r>
        <w:t xml:space="preserve">Finally, we generally do </w:t>
      </w:r>
      <w:r w:rsidRPr="00C5466D">
        <w:rPr>
          <w:b/>
          <w:i/>
        </w:rPr>
        <w:t>not</w:t>
      </w:r>
      <w:r w:rsidRPr="00C5466D">
        <w:rPr>
          <w:i/>
        </w:rPr>
        <w:t>treat aboveground herbaceous material as a carbon pool</w:t>
      </w:r>
      <w:r>
        <w:t xml:space="preserve"> (e.g., grass, flowers, non-woody crops). Our working assumption is that this material does not represent a potential source of long-term storage like woody biomass, belowground biomass, and soil.  Herbaceous material in general recycles its carbon too quickly. </w:t>
      </w:r>
    </w:p>
    <w:p w:rsidR="00DF141A" w:rsidRDefault="00DF141A" w:rsidP="00DF141A">
      <w:pPr>
        <w:autoSpaceDE w:val="0"/>
        <w:jc w:val="both"/>
      </w:pPr>
    </w:p>
    <w:p w:rsidR="00DF141A" w:rsidRDefault="00DF141A" w:rsidP="00DF141A">
      <w:pPr>
        <w:numPr>
          <w:ilvl w:val="1"/>
          <w:numId w:val="10"/>
        </w:numPr>
        <w:tabs>
          <w:tab w:val="left" w:pos="450"/>
        </w:tabs>
        <w:suppressAutoHyphens/>
        <w:spacing w:after="200" w:line="276" w:lineRule="auto"/>
        <w:ind w:left="450"/>
        <w:rPr>
          <w:b/>
          <w:i/>
        </w:rPr>
      </w:pPr>
      <w:r>
        <w:rPr>
          <w:b/>
          <w:i/>
        </w:rPr>
        <w:t>Carbon stored in belowground biomass</w:t>
      </w:r>
    </w:p>
    <w:p w:rsidR="00DF141A" w:rsidRDefault="00DF141A" w:rsidP="00DF141A">
      <w:pPr>
        <w:autoSpaceDE w:val="0"/>
        <w:jc w:val="both"/>
      </w:pPr>
      <w:r>
        <w:t>For LULC categories dominated by woody biomass, belowground biomass can be estimated roughly with the “root to shoot” ratio of belowground to aboveground biomass. Default estimates of the root to shoot ratio are given in Table 4.4 on p. 4.49 of IPCC (2006) by eco-region. Broad estimates of this ratio are also given in Section 3.5 of Brown (1997).</w:t>
      </w:r>
    </w:p>
    <w:p w:rsidR="00DF141A" w:rsidRDefault="00DF141A" w:rsidP="00DF141A">
      <w:pPr>
        <w:autoSpaceDE w:val="0"/>
        <w:jc w:val="both"/>
      </w:pPr>
    </w:p>
    <w:p w:rsidR="00DF141A" w:rsidRDefault="00DF141A" w:rsidP="00DF141A">
      <w:pPr>
        <w:jc w:val="both"/>
      </w:pPr>
      <w:r>
        <w:t xml:space="preserve">Some LULC types contain little to no woody biomass but substantial belowground carbon stocks (e.g., natural grasslands, managed grasslands, steppes, and scrub/ shrub areas). In these cases the root to shoot ratio described above does not apply. Belowground estimates for these LULC types are best estimated locally, but if local data are not available some global estimates can be used.  The IPCC (2006) lists total biomass (aboveground plus belowground) and aboveground biomass for each climate zone in table 6.4 (p. 6.27). The difference between these numbers is a crude estimate of belowground biomass. .  Recently, </w:t>
      </w:r>
      <w:r w:rsidRPr="0011721C">
        <w:t>Rue</w:t>
      </w:r>
      <w:r>
        <w:t xml:space="preserve">sch and Gibbs (2008) mapped the IPCC (2006) aboveground biomass carbon storage data given year 2000 land cover data. </w:t>
      </w:r>
    </w:p>
    <w:p w:rsidR="00DF141A" w:rsidRDefault="00DF141A" w:rsidP="00DF141A">
      <w:pPr>
        <w:autoSpaceDE w:val="0"/>
        <w:jc w:val="both"/>
      </w:pPr>
    </w:p>
    <w:p w:rsidR="00DF141A" w:rsidRDefault="00DF141A" w:rsidP="00DF141A">
      <w:pPr>
        <w:autoSpaceDE w:val="0"/>
        <w:jc w:val="both"/>
      </w:pPr>
      <w:r>
        <w:t xml:space="preserve">Several studies have compiled estimates of belowground biomass or root-to-shoot ratios for different habitat types. Among those we found: </w:t>
      </w:r>
    </w:p>
    <w:p w:rsidR="00DF141A" w:rsidRDefault="00DF141A" w:rsidP="00DF141A">
      <w:pPr>
        <w:numPr>
          <w:ilvl w:val="0"/>
          <w:numId w:val="4"/>
        </w:numPr>
        <w:tabs>
          <w:tab w:val="left" w:pos="720"/>
        </w:tabs>
        <w:suppressAutoHyphens/>
        <w:autoSpaceDE w:val="0"/>
        <w:spacing w:after="200"/>
        <w:jc w:val="both"/>
      </w:pPr>
      <w:r>
        <w:t xml:space="preserve">Grace </w:t>
      </w:r>
      <w:r w:rsidRPr="0052425E">
        <w:rPr>
          <w:i/>
        </w:rPr>
        <w:t>et al</w:t>
      </w:r>
      <w:r>
        <w:t xml:space="preserve">. (2006) estimate the total average woody and herbaceous root biomass for major </w:t>
      </w:r>
      <w:r w:rsidRPr="00A46AF9">
        <w:rPr>
          <w:u w:val="single"/>
        </w:rPr>
        <w:t>savanna</w:t>
      </w:r>
      <w:r>
        <w:t xml:space="preserve"> ecosystems around the world (Table 1). Baer </w:t>
      </w:r>
      <w:r w:rsidRPr="0052425E">
        <w:rPr>
          <w:i/>
        </w:rPr>
        <w:t>et al</w:t>
      </w:r>
      <w:r>
        <w:t xml:space="preserve">. (2002) and Tilman et al. (2006) estimate the C stored in the roots of plots restored to native C4 grasses in Nebraska and Minnesota, U.S. respectively, as a function of years since restoration (see Table 2 in Baer et al. (2002) and Figure 1D in Tilman et al. (2006)).  </w:t>
      </w:r>
    </w:p>
    <w:p w:rsidR="00DF141A" w:rsidRDefault="00DF141A" w:rsidP="00DF141A">
      <w:pPr>
        <w:numPr>
          <w:ilvl w:val="0"/>
          <w:numId w:val="4"/>
        </w:numPr>
        <w:tabs>
          <w:tab w:val="left" w:pos="720"/>
        </w:tabs>
        <w:suppressAutoHyphens/>
        <w:autoSpaceDE w:val="0"/>
        <w:spacing w:after="200"/>
        <w:jc w:val="both"/>
      </w:pPr>
      <w:r>
        <w:t xml:space="preserve">Cairns </w:t>
      </w:r>
      <w:r w:rsidRPr="0052425E">
        <w:rPr>
          <w:i/>
        </w:rPr>
        <w:t>et al</w:t>
      </w:r>
      <w:r>
        <w:t>. (1997) survey root-to-shoot ratios for LULC types across the world. Munishi and Shear (2004) use a ratio of  0.22 for Afromontane forests in the Eastern Arc forests of Tanzania. Malimbwi</w:t>
      </w:r>
      <w:r w:rsidRPr="0052425E">
        <w:rPr>
          <w:i/>
        </w:rPr>
        <w:t xml:space="preserve"> et al</w:t>
      </w:r>
      <w:r>
        <w:t xml:space="preserve">. (1994) use 0.20 for miombo woodlands in the same area of Tanzania. Coomes </w:t>
      </w:r>
      <w:r w:rsidRPr="0052425E">
        <w:rPr>
          <w:i/>
        </w:rPr>
        <w:t>et al</w:t>
      </w:r>
      <w:r>
        <w:t xml:space="preserve">. (2002) use 0.25 for shrublands in New Zealand. Gaston </w:t>
      </w:r>
      <w:r w:rsidRPr="0052425E">
        <w:rPr>
          <w:i/>
        </w:rPr>
        <w:t>et al</w:t>
      </w:r>
      <w:r>
        <w:t>. (1998) report a root-to-shoot ratio of 1 for African grass / shrub savannas.</w:t>
      </w:r>
    </w:p>
    <w:p w:rsidR="00DF141A" w:rsidRDefault="00DF141A" w:rsidP="00DF141A">
      <w:pPr>
        <w:numPr>
          <w:ilvl w:val="1"/>
          <w:numId w:val="10"/>
        </w:numPr>
        <w:tabs>
          <w:tab w:val="left" w:pos="450"/>
        </w:tabs>
        <w:suppressAutoHyphens/>
        <w:spacing w:after="200" w:line="276" w:lineRule="auto"/>
        <w:ind w:left="450"/>
        <w:rPr>
          <w:b/>
          <w:i/>
        </w:rPr>
      </w:pPr>
      <w:r>
        <w:rPr>
          <w:b/>
          <w:i/>
        </w:rPr>
        <w:t>Carbon stored in soil</w:t>
      </w:r>
    </w:p>
    <w:p w:rsidR="00DF141A" w:rsidRDefault="00DF141A" w:rsidP="00DF141A">
      <w:pPr>
        <w:jc w:val="both"/>
      </w:pPr>
      <w:r>
        <w:t>If local or regional soil C estimates are not available, default estimates can be looked up from IPCC (2006) for agricultural, pasture, and managed grasslands. Table 2.3 of IPCC (2006) contains estimates of soil carbon stocks by soil type, assuming these stocks are at equilibrium and have no active land management. For cropland and grasslandLULC types, this default estimate can be multiplied by management factors, listed in Tables 5.5 and 6.2 of IPCC (2006). For all other LULC types and their related management schemes, the IPCC (2006) assumes no management factors.</w:t>
      </w:r>
    </w:p>
    <w:p w:rsidR="00DF141A" w:rsidRDefault="00DF141A" w:rsidP="00DF141A"/>
    <w:p w:rsidR="00DF141A" w:rsidRDefault="00DF141A" w:rsidP="00DF141A">
      <w:pPr>
        <w:autoSpaceDE w:val="0"/>
        <w:jc w:val="both"/>
      </w:pPr>
      <w:r>
        <w:t xml:space="preserve">There are alternative global-level sources of soil carbon data. Post </w:t>
      </w:r>
      <w:r w:rsidRPr="00C5466D">
        <w:rPr>
          <w:i/>
        </w:rPr>
        <w:t>et al</w:t>
      </w:r>
      <w:r>
        <w:t xml:space="preserve">. (1982) report carbon stocks in the first meter of soil by Holdridge Life Zone Classification System (GIS map of these Zones available at </w:t>
      </w:r>
      <w:hyperlink r:id="rId45" w:history="1">
        <w:r>
          <w:rPr>
            <w:rStyle w:val="Hyperlink"/>
          </w:rPr>
          <w:t>http://www.ngdc.noaa.gov/seg/cdroms/ged_iia/datasets/a06/lh.htm</w:t>
        </w:r>
      </w:hyperlink>
      <w:r>
        <w:t xml:space="preserve">). Silver </w:t>
      </w:r>
      <w:r w:rsidRPr="009F3499">
        <w:rPr>
          <w:i/>
        </w:rPr>
        <w:t>etal</w:t>
      </w:r>
      <w:r>
        <w:t xml:space="preserve">. (2000) have estimated soil carbonas a function of years since afforestation / reforestation for native forest types in tropical ecosystems. Grace et al. (2006) estimate the soil carbon for major savanna types around the world (Table 1). Detwiler (1986) lists soil carbon for tropical forest soils in Table 2. </w:t>
      </w:r>
    </w:p>
    <w:p w:rsidR="00DF141A" w:rsidRDefault="00DF141A" w:rsidP="00DF141A">
      <w:pPr>
        <w:autoSpaceDE w:val="0"/>
      </w:pPr>
    </w:p>
    <w:p w:rsidR="00DF141A" w:rsidRDefault="00DF141A" w:rsidP="00DF141A">
      <w:r>
        <w:t xml:space="preserve">Several region-specific studies also report soil carbon stocks. Those we’ve found include: </w:t>
      </w:r>
    </w:p>
    <w:p w:rsidR="00DF141A" w:rsidRDefault="00DF141A" w:rsidP="00DF141A">
      <w:pPr>
        <w:numPr>
          <w:ilvl w:val="0"/>
          <w:numId w:val="12"/>
        </w:numPr>
        <w:suppressAutoHyphens/>
        <w:spacing w:after="200"/>
        <w:jc w:val="both"/>
        <w:rPr>
          <w:lang w:val="nb-NO"/>
        </w:rPr>
      </w:pPr>
      <w:r w:rsidRPr="005C74F6">
        <w:rPr>
          <w:b/>
        </w:rPr>
        <w:t>North America</w:t>
      </w:r>
      <w:r>
        <w:t xml:space="preserve">: Smith </w:t>
      </w:r>
      <w:r w:rsidRPr="009F3499">
        <w:rPr>
          <w:i/>
        </w:rPr>
        <w:t>et al</w:t>
      </w:r>
      <w:r>
        <w:t xml:space="preserve">. (2006) estimate soil C for every 5-year increment up to 125 years since afforestation/ reforestation for all major forest types and forest management practices in each region of the U.S. </w:t>
      </w:r>
      <w:r w:rsidRPr="007F1E72">
        <w:t xml:space="preserve">Others include McLauchlan </w:t>
      </w:r>
      <w:r w:rsidRPr="007F1E72">
        <w:rPr>
          <w:i/>
        </w:rPr>
        <w:t>et al</w:t>
      </w:r>
      <w:r w:rsidRPr="007F1E72">
        <w:t xml:space="preserve">. </w:t>
      </w:r>
      <w:r>
        <w:rPr>
          <w:lang w:val="nb-NO"/>
        </w:rPr>
        <w:t xml:space="preserve">(2006); Tilman </w:t>
      </w:r>
      <w:r w:rsidRPr="009F3499">
        <w:rPr>
          <w:i/>
          <w:lang w:val="nb-NO"/>
        </w:rPr>
        <w:t>et al</w:t>
      </w:r>
      <w:r>
        <w:rPr>
          <w:lang w:val="nb-NO"/>
        </w:rPr>
        <w:t xml:space="preserve">. (2006); Fargione </w:t>
      </w:r>
      <w:r w:rsidRPr="009F3499">
        <w:rPr>
          <w:i/>
          <w:lang w:val="nb-NO"/>
        </w:rPr>
        <w:t>et al</w:t>
      </w:r>
      <w:r>
        <w:rPr>
          <w:lang w:val="nb-NO"/>
        </w:rPr>
        <w:t xml:space="preserve"> (2008); Schuman et al. (2002); and Lal (2002). </w:t>
      </w:r>
    </w:p>
    <w:p w:rsidR="00DF141A" w:rsidRDefault="00DF141A" w:rsidP="00DF141A">
      <w:pPr>
        <w:numPr>
          <w:ilvl w:val="0"/>
          <w:numId w:val="12"/>
        </w:numPr>
        <w:suppressAutoHyphens/>
        <w:spacing w:after="200"/>
        <w:jc w:val="both"/>
      </w:pPr>
      <w:r w:rsidRPr="005C74F6">
        <w:rPr>
          <w:b/>
        </w:rPr>
        <w:t>Africa</w:t>
      </w:r>
      <w:r>
        <w:t xml:space="preserve">: Houghton and Hackler (2006) give soil C for 5 LULC forest types (Rain Forest; Moist Forest Dry; Forest; Shrubland; and Montane Forest) in sub-Saharan Africa that have retained their natural cover and for forest areas that have been converted to croplands, shifting cultivation, and pasture. Vagen </w:t>
      </w:r>
      <w:r w:rsidRPr="009F3499">
        <w:rPr>
          <w:i/>
        </w:rPr>
        <w:t>et al</w:t>
      </w:r>
      <w:r>
        <w:t xml:space="preserve">. (2005) provides soil C estimates for various LULC types in sub-Saharan Africa.  </w:t>
      </w:r>
    </w:p>
    <w:p w:rsidR="00DF141A" w:rsidRPr="00546AAB" w:rsidRDefault="00DF141A" w:rsidP="00DF141A">
      <w:pPr>
        <w:numPr>
          <w:ilvl w:val="0"/>
          <w:numId w:val="12"/>
        </w:numPr>
        <w:suppressAutoHyphens/>
        <w:spacing w:after="200"/>
        <w:jc w:val="both"/>
      </w:pPr>
      <w:r w:rsidRPr="005C74F6">
        <w:rPr>
          <w:b/>
        </w:rPr>
        <w:t>South America</w:t>
      </w:r>
      <w:r>
        <w:t xml:space="preserve">: Bernoux et al. (2002) estimated soil C stocks to a depth of 30 cm for different soil type-vegetation associations in Brazil. For example, the soil C stock in </w:t>
      </w:r>
      <w:r>
        <w:rPr>
          <w:bCs/>
        </w:rPr>
        <w:t>HAC soils under 14 different land cover categories, including Amazon forest and Brazilian Cerrado, range from 2 to 116 kg C m</w:t>
      </w:r>
      <w:r>
        <w:rPr>
          <w:vertAlign w:val="superscript"/>
        </w:rPr>
        <w:t>-2</w:t>
      </w:r>
      <w:r>
        <w:t>.</w:t>
      </w:r>
    </w:p>
    <w:p w:rsidR="00DF141A" w:rsidRPr="00CA195F" w:rsidRDefault="00DF141A" w:rsidP="00DF141A">
      <w:pPr>
        <w:ind w:left="180"/>
        <w:jc w:val="both"/>
        <w:rPr>
          <w:b/>
          <w:bCs/>
        </w:rPr>
      </w:pPr>
      <w:r w:rsidRPr="00CA195F">
        <w:rPr>
          <w:b/>
          <w:bCs/>
          <w:u w:val="single"/>
        </w:rPr>
        <w:t>Important Note</w:t>
      </w:r>
      <w:r w:rsidRPr="00CA195F">
        <w:rPr>
          <w:b/>
          <w:bCs/>
        </w:rPr>
        <w:t xml:space="preserve">: In most research that estimates carbon storage and sequestration rates on a landscape, soil pool measures </w:t>
      </w:r>
      <w:r w:rsidRPr="00CA195F">
        <w:rPr>
          <w:b/>
          <w:bCs/>
          <w:u w:val="single"/>
        </w:rPr>
        <w:t>only include soil organic carbon</w:t>
      </w:r>
      <w:r w:rsidRPr="00CA195F">
        <w:rPr>
          <w:b/>
          <w:bCs/>
        </w:rPr>
        <w:t xml:space="preserve"> (SOC) in </w:t>
      </w:r>
      <w:r w:rsidRPr="00CA195F">
        <w:rPr>
          <w:b/>
          <w:bCs/>
          <w:i/>
          <w:u w:val="single"/>
        </w:rPr>
        <w:t>mineral soils</w:t>
      </w:r>
      <w:r w:rsidRPr="00CA195F">
        <w:rPr>
          <w:b/>
          <w:bCs/>
        </w:rPr>
        <w:t xml:space="preserve"> (Post and Kwon 2000). However, if the ecosystem being modeled has a lot of organic soils (e.g. wetlands or paramo), it is critical to add this component to the mineral soil content. In landscapes where the conversion of wetlands into other land uses is common, carbon releases from organic soils should also be tracked closely (IPCC 2006).</w:t>
      </w:r>
    </w:p>
    <w:p w:rsidR="00DF141A" w:rsidRDefault="00DF141A" w:rsidP="00DF141A">
      <w:pPr>
        <w:ind w:left="360"/>
      </w:pPr>
    </w:p>
    <w:p w:rsidR="00DF141A" w:rsidRDefault="00DF141A" w:rsidP="00DF141A">
      <w:pPr>
        <w:numPr>
          <w:ilvl w:val="1"/>
          <w:numId w:val="10"/>
        </w:numPr>
        <w:tabs>
          <w:tab w:val="left" w:pos="450"/>
        </w:tabs>
        <w:suppressAutoHyphens/>
        <w:spacing w:after="200" w:line="276" w:lineRule="auto"/>
        <w:ind w:left="450"/>
        <w:rPr>
          <w:b/>
          <w:i/>
        </w:rPr>
      </w:pPr>
      <w:r>
        <w:rPr>
          <w:b/>
          <w:i/>
        </w:rPr>
        <w:t xml:space="preserve"> Carbon stored in dead organic matter</w:t>
      </w:r>
    </w:p>
    <w:p w:rsidR="00DF141A" w:rsidRDefault="00DF141A" w:rsidP="00DF141A">
      <w:pPr>
        <w:jc w:val="both"/>
      </w:pPr>
      <w:r>
        <w:t xml:space="preserve">If local or regional estimates of carbon stored in dead organic matter aren’t available, default values from the IPCC (2006) can be assigned. Table 2.2 (p. 2.27) gives default carbon stocks for leaf litter in forested LULC types. For non-forested types, litter is close to 0. Grace </w:t>
      </w:r>
      <w:r w:rsidRPr="009F3499">
        <w:rPr>
          <w:i/>
        </w:rPr>
        <w:t>et al</w:t>
      </w:r>
      <w:r>
        <w:t>. (2006) estimate the average carbon stored in litter for major savanna ecosystems around the world (Table 1). It is not clear if their total “above-ground biomass” estimates include deadwood or not. Deadwood stocks are more difficult to estimate in general, and we have located no default data sources.</w:t>
      </w:r>
    </w:p>
    <w:p w:rsidR="00DF141A" w:rsidRPr="007E54F3" w:rsidRDefault="00DF141A" w:rsidP="00DF141A">
      <w:pPr>
        <w:rPr>
          <w:sz w:val="20"/>
        </w:rPr>
      </w:pPr>
    </w:p>
    <w:p w:rsidR="00DF141A" w:rsidRDefault="00DF141A" w:rsidP="00DF141A">
      <w:r>
        <w:t>Regional estimates:</w:t>
      </w:r>
    </w:p>
    <w:p w:rsidR="00DF141A" w:rsidRDefault="00DF141A" w:rsidP="00DF141A">
      <w:pPr>
        <w:numPr>
          <w:ilvl w:val="0"/>
          <w:numId w:val="9"/>
        </w:numPr>
        <w:tabs>
          <w:tab w:val="left" w:pos="720"/>
        </w:tabs>
        <w:suppressAutoHyphens/>
        <w:spacing w:after="200"/>
        <w:jc w:val="both"/>
      </w:pPr>
      <w:r w:rsidRPr="00A46AF9">
        <w:rPr>
          <w:b/>
        </w:rPr>
        <w:t>United States</w:t>
      </w:r>
      <w:r>
        <w:t xml:space="preserve">: Smith </w:t>
      </w:r>
      <w:r w:rsidRPr="00C5466D">
        <w:rPr>
          <w:i/>
        </w:rPr>
        <w:t>et al</w:t>
      </w:r>
      <w:r>
        <w:t xml:space="preserve">. (2006) estimate carbon storage in litter (referred to as “Forest Floor” C in the document) and dead wood (the aggregate of C pools referred to as “Standing Dead Trees” and “Down Dead Wood” in the document) for all major forest </w:t>
      </w:r>
      <w:r>
        <w:lastRenderedPageBreak/>
        <w:t>types and forest management practices in each region of the U.S. as a function of stand age.</w:t>
      </w:r>
    </w:p>
    <w:p w:rsidR="00DF141A" w:rsidRDefault="00DF141A" w:rsidP="00DF141A">
      <w:pPr>
        <w:numPr>
          <w:ilvl w:val="0"/>
          <w:numId w:val="5"/>
        </w:numPr>
        <w:tabs>
          <w:tab w:val="left" w:pos="720"/>
        </w:tabs>
        <w:suppressAutoHyphens/>
        <w:jc w:val="both"/>
      </w:pPr>
      <w:r w:rsidRPr="00A46AF9">
        <w:rPr>
          <w:b/>
        </w:rPr>
        <w:t>South America</w:t>
      </w:r>
      <w:r>
        <w:t xml:space="preserve">: Delaney </w:t>
      </w:r>
      <w:r w:rsidRPr="009F3499">
        <w:rPr>
          <w:i/>
        </w:rPr>
        <w:t>et al</w:t>
      </w:r>
      <w:r>
        <w:t>. (1998) estimate carbon stored in standing and down dead wood in 6 tropical forests of Venezuela. According to the authors, deadwood is typically 1/10 the amount of biomass as aboveground vegetation.</w:t>
      </w:r>
    </w:p>
    <w:p w:rsidR="00DF141A" w:rsidRDefault="00DF141A" w:rsidP="00DF141A">
      <w:pPr>
        <w:suppressAutoHyphens/>
        <w:ind w:left="720"/>
        <w:jc w:val="both"/>
      </w:pPr>
    </w:p>
    <w:p w:rsidR="00DF141A" w:rsidRDefault="00DF141A" w:rsidP="00DF141A">
      <w:pPr>
        <w:numPr>
          <w:ilvl w:val="0"/>
          <w:numId w:val="10"/>
        </w:numPr>
        <w:tabs>
          <w:tab w:val="clear" w:pos="360"/>
          <w:tab w:val="left" w:pos="0"/>
        </w:tabs>
        <w:suppressAutoHyphens/>
        <w:spacing w:after="200" w:line="276" w:lineRule="auto"/>
        <w:ind w:left="0"/>
        <w:rPr>
          <w:b/>
        </w:rPr>
      </w:pPr>
      <w:r w:rsidRPr="0043387D">
        <w:rPr>
          <w:b/>
        </w:rPr>
        <w:t>Decay rates for harvested wood products</w:t>
      </w:r>
      <w:r>
        <w:rPr>
          <w:b/>
        </w:rPr>
        <w:tab/>
      </w:r>
      <w:r>
        <w:rPr>
          <w:b/>
        </w:rPr>
        <w:tab/>
      </w:r>
      <w:r>
        <w:rPr>
          <w:b/>
        </w:rPr>
        <w:tab/>
      </w:r>
      <w:r>
        <w:rPr>
          <w:b/>
        </w:rPr>
        <w:tab/>
      </w:r>
      <w:r>
        <w:rPr>
          <w:b/>
        </w:rPr>
        <w:tab/>
      </w:r>
      <w:r>
        <w:rPr>
          <w:b/>
        </w:rPr>
        <w:tab/>
      </w:r>
      <w:r>
        <w:rPr>
          <w:b/>
        </w:rPr>
        <w:tab/>
      </w:r>
    </w:p>
    <w:p w:rsidR="00DF141A" w:rsidRPr="00095A44" w:rsidRDefault="00DF141A" w:rsidP="00DF141A">
      <w:pPr>
        <w:tabs>
          <w:tab w:val="left" w:pos="0"/>
        </w:tabs>
        <w:suppressAutoHyphens/>
        <w:spacing w:after="200" w:line="276" w:lineRule="auto"/>
        <w:ind w:left="-360"/>
        <w:rPr>
          <w:b/>
        </w:rPr>
      </w:pPr>
      <w:r>
        <w:rPr>
          <w:b/>
        </w:rPr>
        <w:tab/>
      </w:r>
      <w:r>
        <w:t xml:space="preserve">For more information on the decay of carbon in HWP and methods for estimating it, see Skog </w:t>
      </w:r>
      <w:r w:rsidRPr="00095A44">
        <w:rPr>
          <w:i/>
        </w:rPr>
        <w:t xml:space="preserve">et </w:t>
      </w:r>
      <w:r>
        <w:rPr>
          <w:i/>
        </w:rPr>
        <w:tab/>
      </w:r>
      <w:r w:rsidRPr="00095A44">
        <w:rPr>
          <w:i/>
        </w:rPr>
        <w:t>al</w:t>
      </w:r>
      <w:r>
        <w:t xml:space="preserve">. (2004), Green </w:t>
      </w:r>
      <w:r w:rsidRPr="00095A44">
        <w:rPr>
          <w:i/>
        </w:rPr>
        <w:t>et al</w:t>
      </w:r>
      <w:r>
        <w:t xml:space="preserve">. (2006), Miner (2006), Smith </w:t>
      </w:r>
      <w:r w:rsidRPr="00095A44">
        <w:rPr>
          <w:i/>
        </w:rPr>
        <w:t>et al</w:t>
      </w:r>
      <w:r>
        <w:t xml:space="preserve">. (2006), chapter 12, “Harvested Wood </w:t>
      </w:r>
      <w:r>
        <w:tab/>
        <w:t xml:space="preserve">Products,” of IPCC (2006), and Dias </w:t>
      </w:r>
      <w:r w:rsidRPr="00095A44">
        <w:rPr>
          <w:i/>
        </w:rPr>
        <w:t>et al</w:t>
      </w:r>
      <w:r>
        <w:t xml:space="preserve">. (2007). </w:t>
      </w:r>
    </w:p>
    <w:p w:rsidR="00DF141A" w:rsidRPr="0043387D" w:rsidRDefault="00DF141A" w:rsidP="00DF141A">
      <w:pPr>
        <w:numPr>
          <w:ilvl w:val="0"/>
          <w:numId w:val="10"/>
        </w:numPr>
        <w:tabs>
          <w:tab w:val="clear" w:pos="360"/>
          <w:tab w:val="left" w:pos="0"/>
        </w:tabs>
        <w:suppressAutoHyphens/>
        <w:spacing w:after="200" w:line="276" w:lineRule="auto"/>
        <w:ind w:left="0"/>
        <w:rPr>
          <w:b/>
        </w:rPr>
      </w:pPr>
      <w:r w:rsidRPr="0043387D">
        <w:rPr>
          <w:b/>
        </w:rPr>
        <w:t>Harvest rates and dates harvest began</w:t>
      </w:r>
    </w:p>
    <w:p w:rsidR="00DF141A" w:rsidRDefault="00DF141A" w:rsidP="00DF141A">
      <w:pPr>
        <w:jc w:val="both"/>
      </w:pPr>
      <w:r>
        <w:t>For an example of estimating carbon content in harvested wood products, we can use data from Makundi (2001). Assume that a softwood plantation in Tanzania has been producing timber for 50 years on a 5-hectare plot. Further, the rotation period for this type of plantation is 25 years (Makundi 2001). Assume an even age forestry operation. Therefore, every year, 2 hectares with 25-year old trees are clear-cut. The mean annual increment of the softwood’s aboveground biomass is 17.82 Mg ha</w:t>
      </w:r>
      <w:r>
        <w:rPr>
          <w:vertAlign w:val="superscript"/>
        </w:rPr>
        <w:t>-1</w:t>
      </w:r>
      <w:r>
        <w:t xml:space="preserve"> yr</w:t>
      </w:r>
      <w:r>
        <w:rPr>
          <w:vertAlign w:val="superscript"/>
        </w:rPr>
        <w:t>-1</w:t>
      </w:r>
      <w:r>
        <w:t xml:space="preserve"> (Makundi 2001). Thus 2 hectares x 25 years x 17.82 Mg ha</w:t>
      </w:r>
      <w:r>
        <w:rPr>
          <w:vertAlign w:val="superscript"/>
        </w:rPr>
        <w:t>-1</w:t>
      </w:r>
      <w:r>
        <w:t xml:space="preserve"> yr</w:t>
      </w:r>
      <w:r>
        <w:rPr>
          <w:vertAlign w:val="superscript"/>
        </w:rPr>
        <w:t>-1</w:t>
      </w:r>
      <w:r>
        <w:t xml:space="preserve">  = 891 Mg of timber has been removedfrom the plantation annually for 50 years. If we assume the carbon content of the plantation’s trees are 0.48 (Makundi 2001) then 891 x 0.48 = 427.68 metric tons of C are in the aboveground biomass of forest stand removed each year from the plantation or 8.6 ha</w:t>
      </w:r>
      <w:r>
        <w:rPr>
          <w:vertAlign w:val="superscript"/>
        </w:rPr>
        <w:t>-1</w:t>
      </w:r>
      <w:r>
        <w:t xml:space="preserve"> yr</w:t>
      </w:r>
      <w:r>
        <w:rPr>
          <w:vertAlign w:val="superscript"/>
        </w:rPr>
        <w:t>-1</w:t>
      </w:r>
      <w:r>
        <w:t xml:space="preserve">.  </w:t>
      </w:r>
    </w:p>
    <w:p w:rsidR="00DF141A" w:rsidRDefault="00DF141A" w:rsidP="00DF141A"/>
    <w:p w:rsidR="00DF141A" w:rsidRDefault="00DF141A" w:rsidP="00DF141A">
      <w:pPr>
        <w:jc w:val="both"/>
      </w:pPr>
      <w:r>
        <w:t xml:space="preserve">Ascertaining dates in which harvesting began in each parcel may be difficult. If it is, you could assign an early date of initial harvest to all parcels, which essentially assumes that the carbon in the pool of harvested wood products has reached steady state (i.e., does not change year to year).  Assume a date such that the time since first harvest is more than twice the half-life of carbon in the harvested wood products (e.g., if the half life of carbon in wood products is 20 years, choose a date of initial harvest that is 40 years before the current landscape map used.  </w:t>
      </w:r>
    </w:p>
    <w:p w:rsidR="00DF141A" w:rsidRPr="0043387D" w:rsidRDefault="00DF141A" w:rsidP="00DF141A">
      <w:pPr>
        <w:ind w:left="720"/>
        <w:jc w:val="both"/>
      </w:pPr>
    </w:p>
    <w:p w:rsidR="00DF141A" w:rsidRPr="0043387D" w:rsidRDefault="00DF141A" w:rsidP="00DF141A">
      <w:pPr>
        <w:numPr>
          <w:ilvl w:val="0"/>
          <w:numId w:val="10"/>
        </w:numPr>
        <w:tabs>
          <w:tab w:val="clear" w:pos="360"/>
        </w:tabs>
        <w:suppressAutoHyphens/>
        <w:spacing w:after="200" w:line="276" w:lineRule="auto"/>
        <w:ind w:left="0"/>
        <w:jc w:val="both"/>
        <w:rPr>
          <w:b/>
        </w:rPr>
      </w:pPr>
      <w:r w:rsidRPr="0043387D">
        <w:rPr>
          <w:b/>
        </w:rPr>
        <w:t>Economic inputs: carbon price and discount rates</w:t>
      </w:r>
    </w:p>
    <w:p w:rsidR="00DF141A" w:rsidRDefault="00DF141A" w:rsidP="00DF141A">
      <w:pPr>
        <w:jc w:val="both"/>
      </w:pPr>
      <w:r>
        <w:t>Recent estimates suggest that the social cost of carbon (SCC), or the marginal damage associated with the release of an additional Mg of C into the atmosphere, ranges from $32 per metric ton of C (Nordhaus 2007a) to $326 per metric ton of C (Stern 2007) in 2010 US dollars. The value of this damage can also be considered the monetary benefit of an avoided release. Tol (2009) provides a comprehensive survey of SCC estimates, reporting median values of $66 and $130 per metric ton in 2010 US dollars (values differ because of different assumptions regarding discounting of time). Other recent estimates can be found in Murphy</w:t>
      </w:r>
      <w:r w:rsidRPr="00B7081A">
        <w:rPr>
          <w:i/>
        </w:rPr>
        <w:t xml:space="preserve"> et al</w:t>
      </w:r>
      <w:r>
        <w:t xml:space="preserve">. (2004), Stainforth </w:t>
      </w:r>
      <w:r w:rsidRPr="00B7081A">
        <w:rPr>
          <w:i/>
        </w:rPr>
        <w:t>et al</w:t>
      </w:r>
      <w:r>
        <w:t>. (2005), and Hope (2006).</w:t>
      </w:r>
    </w:p>
    <w:p w:rsidR="00DF141A" w:rsidRDefault="00DF141A" w:rsidP="00DF141A">
      <w:pPr>
        <w:jc w:val="both"/>
      </w:pPr>
    </w:p>
    <w:p w:rsidR="00DF141A" w:rsidRDefault="00DF141A" w:rsidP="00DF141A">
      <w:pPr>
        <w:jc w:val="both"/>
      </w:pPr>
      <w:r>
        <w:t xml:space="preserve">An alternative method for measuring the cost of an emission of a metric ton of C is to set the cost equal to the least cost alternative for sequestering that ton. The next best alternative currently is to capture and store the C emitted from utility plants. According to Socolow (2005) and Socolow </w:t>
      </w:r>
      <w:r>
        <w:lastRenderedPageBreak/>
        <w:t>and Pacala (2007), the cost of this technology per metric ton captured and stored is approximately $100.</w:t>
      </w:r>
    </w:p>
    <w:p w:rsidR="00DF141A" w:rsidRDefault="00DF141A" w:rsidP="00DF141A">
      <w:pPr>
        <w:jc w:val="both"/>
      </w:pPr>
    </w:p>
    <w:p w:rsidR="00DF141A" w:rsidRDefault="00DF141A" w:rsidP="00DF141A">
      <w:pPr>
        <w:jc w:val="both"/>
      </w:pPr>
      <w:r>
        <w:t xml:space="preserve">Finally, while we do not recommend this approach, market prices can be used to set the price of sequestered carbon. The Chicago Climate Exchange (CCX) and the European Climate Exchange (ECX) provide values ($24 and $153 per metric ton of C on May 14, 2008, respectively). The difference in these prices illustrates the problem with using markets to set values. The CCX and ECX are different in structure, scope, and the public policy that grounds each institution. This leads to different market fundamentals, and different prices for reasons unrelated to the social value of carbon sequestration.  We do not recommend the use of market prices because they usually only apply to “additional” carbon sequestration; sequestration above and beyond some baseline sequestration rate.  Further, carbon credit values from carbon markets such as the Chicago or European Climate Exchanges are largely a function of various carbon credit market rules and regulations and do not necessarily reflect the benefit to society of a sequestered ton of carbon.  Therefore, correct use of market prices would require estimating a baseline rate for the landscape of interest, mapping additional sequestration, and then determining which additional sequestration is eligible for credits according to market rules and regulations.  If the user is specifically interested in such an analysis please contact the InVEST team on the message boards at </w:t>
      </w:r>
      <w:hyperlink r:id="rId46" w:history="1">
        <w:r w:rsidRPr="003A78FE">
          <w:rPr>
            <w:rStyle w:val="Hyperlink"/>
          </w:rPr>
          <w:t>http://invest.ecoinformatics.org</w:t>
        </w:r>
      </w:hyperlink>
    </w:p>
    <w:p w:rsidR="00DF141A" w:rsidRDefault="00DF141A" w:rsidP="00DF141A">
      <w:pPr>
        <w:jc w:val="both"/>
      </w:pPr>
    </w:p>
    <w:p w:rsidR="00DF141A" w:rsidRDefault="00DF141A" w:rsidP="00DF141A">
      <w:pPr>
        <w:jc w:val="both"/>
      </w:pPr>
      <w:r>
        <w:t>We discount the value of future payments for carbon sequestration to reflect society’s preference for payments that occur earlier rather than later. The US Office of Management and Budget recommends a 7% per annum market discount rate for US-based projects (OMB 1992).  Discount rates vary for other parts of the world. The Asian Development Bank uses a rate of 10% to 12% when evaluating projects (</w:t>
      </w:r>
      <w:hyperlink r:id="rId47" w:history="1">
        <w:r w:rsidRPr="00E42ED4">
          <w:rPr>
            <w:rStyle w:val="Hyperlink"/>
          </w:rPr>
          <w:t>http://www.adb.org/Documents/Guidelines/Eco_Analysis/discount_ rate.asp</w:t>
        </w:r>
      </w:hyperlink>
      <w:r>
        <w:t xml:space="preserve">). Canada and New Zealand </w:t>
      </w:r>
      <w:r>
        <w:rPr>
          <w:lang w:val="en-NZ"/>
        </w:rPr>
        <w:t>recommend 10% for their projects (Abusah and de Bruyn 2007).</w:t>
      </w:r>
    </w:p>
    <w:p w:rsidR="00DF141A" w:rsidRDefault="00DF141A" w:rsidP="00DF141A">
      <w:pPr>
        <w:jc w:val="both"/>
      </w:pPr>
    </w:p>
    <w:p w:rsidR="00DF141A" w:rsidRDefault="00DF141A" w:rsidP="00DF141A">
      <w:pPr>
        <w:jc w:val="both"/>
      </w:pPr>
      <w:r>
        <w:t xml:space="preserve">Some economists believe that a market or consumption discount rate of 7% to 12% is too high when dealing with the climate change analysis. Because climate change has the potential to severely disrupt economies in the future, the preference of society to consume today at the expense of both climate stability in the future and future generations’ economic opportunities is seen as unethical by some (Cline 1992, Stern 2007). According to this argument, analyses of the effects of climate change on society and policies designed to reduce climate change should use low discount rates to encourage greater GHG emission mitigation and therefore compensate for the potentially severe damages incurred by future generations (e.g., </w:t>
      </w:r>
      <w:r>
        <w:rPr>
          <w:i/>
        </w:rPr>
        <w:t>r</w:t>
      </w:r>
      <w:r>
        <w:t xml:space="preserve"> = 0.014 in Stern (2007)). Recent government policies in several countries have supported the use of a very low discount rate for certain long-term projects </w:t>
      </w:r>
      <w:r>
        <w:rPr>
          <w:lang w:val="en-NZ"/>
        </w:rPr>
        <w:t>(Abusah and de Bruyn 2007).</w:t>
      </w:r>
    </w:p>
    <w:p w:rsidR="00DF141A" w:rsidRDefault="00DF141A" w:rsidP="00DF141A">
      <w:pPr>
        <w:jc w:val="both"/>
      </w:pPr>
    </w:p>
    <w:p w:rsidR="00DF141A" w:rsidRDefault="00DF141A" w:rsidP="00DF141A">
      <w:pPr>
        <w:jc w:val="both"/>
      </w:pPr>
      <w:r>
        <w:t xml:space="preserve">The carbon discount rate, which reflects the greater climatic impact of carbon sequestered immediately over carbon sequestered in the future, is discussed in Adams </w:t>
      </w:r>
      <w:r w:rsidRPr="00B7081A">
        <w:rPr>
          <w:i/>
        </w:rPr>
        <w:t>et al</w:t>
      </w:r>
      <w:r>
        <w:t xml:space="preserve">. </w:t>
      </w:r>
      <w:r w:rsidRPr="00CA7D68">
        <w:t xml:space="preserve">(1999), Plantinga </w:t>
      </w:r>
      <w:r w:rsidRPr="00B7081A">
        <w:rPr>
          <w:i/>
        </w:rPr>
        <w:t>et al</w:t>
      </w:r>
      <w:r w:rsidRPr="00CA7D68">
        <w:t xml:space="preserve">. (1999), Feng 2005, and Nelson </w:t>
      </w:r>
      <w:r w:rsidRPr="00B7081A">
        <w:rPr>
          <w:i/>
        </w:rPr>
        <w:t>et al</w:t>
      </w:r>
      <w:r w:rsidRPr="00CA7D68">
        <w:t xml:space="preserve">. (2008).  </w:t>
      </w:r>
    </w:p>
    <w:p w:rsidR="00DF141A" w:rsidRPr="00CA7D68" w:rsidRDefault="00DF141A" w:rsidP="00DF141A">
      <w:pPr>
        <w:jc w:val="both"/>
      </w:pPr>
    </w:p>
    <w:p w:rsidR="00DF141A" w:rsidRDefault="00DF141A" w:rsidP="00DF141A">
      <w:pPr>
        <w:pStyle w:val="Heading2"/>
        <w:numPr>
          <w:ilvl w:val="1"/>
          <w:numId w:val="0"/>
        </w:numPr>
        <w:tabs>
          <w:tab w:val="left" w:pos="0"/>
        </w:tabs>
        <w:suppressAutoHyphens/>
        <w:spacing w:line="276" w:lineRule="auto"/>
        <w:jc w:val="both"/>
        <w:rPr>
          <w:rFonts w:ascii="Cambria" w:hAnsi="Cambria"/>
        </w:rPr>
      </w:pPr>
      <w:bookmarkStart w:id="33" w:name="_Toc255992058"/>
    </w:p>
    <w:p w:rsidR="00DF141A" w:rsidRPr="001210E0" w:rsidRDefault="00DF141A" w:rsidP="00DF141A">
      <w:pPr>
        <w:pStyle w:val="Heading2"/>
        <w:numPr>
          <w:ilvl w:val="1"/>
          <w:numId w:val="0"/>
        </w:numPr>
        <w:tabs>
          <w:tab w:val="left" w:pos="0"/>
        </w:tabs>
        <w:suppressAutoHyphens/>
        <w:spacing w:line="276" w:lineRule="auto"/>
        <w:jc w:val="both"/>
        <w:rPr>
          <w:rFonts w:ascii="Cambria" w:hAnsi="Cambria"/>
        </w:rPr>
      </w:pPr>
      <w:bookmarkStart w:id="34" w:name="_Toc158980581"/>
      <w:r w:rsidRPr="001210E0">
        <w:rPr>
          <w:rFonts w:ascii="Cambria" w:hAnsi="Cambria"/>
        </w:rPr>
        <w:t>References</w:t>
      </w:r>
      <w:bookmarkEnd w:id="33"/>
      <w:bookmarkEnd w:id="34"/>
    </w:p>
    <w:p w:rsidR="00DF141A" w:rsidRPr="00F80A65" w:rsidRDefault="00DF141A" w:rsidP="00DF141A">
      <w:pPr>
        <w:jc w:val="both"/>
      </w:pPr>
    </w:p>
    <w:p w:rsidR="00DF141A" w:rsidRDefault="00DF141A" w:rsidP="00DF141A">
      <w:pPr>
        <w:ind w:left="720" w:hanging="720"/>
        <w:jc w:val="both"/>
      </w:pPr>
      <w:r>
        <w:t>Abusah, Sam and Bruyn, Clinton de. 2007. Getting Auckland on Track: Public Transport and New Zealand’s Economic. Ministry of Economic Development Working Paper. Accessed at &lt;http://www.med.govt.nz/templates/MultipageDocumentTOC_28641.aspx&gt;.</w:t>
      </w:r>
    </w:p>
    <w:p w:rsidR="00DF141A" w:rsidRDefault="00DF141A" w:rsidP="00DF141A">
      <w:pPr>
        <w:jc w:val="both"/>
      </w:pPr>
      <w:r w:rsidRPr="007F1E72">
        <w:t xml:space="preserve">Adams, DM, RJ Alig, BA McCarl, </w:t>
      </w:r>
      <w:r w:rsidRPr="007F1E72">
        <w:rPr>
          <w:i/>
        </w:rPr>
        <w:t>et al</w:t>
      </w:r>
      <w:r w:rsidRPr="007F1E72">
        <w:t xml:space="preserve">. 1999. </w:t>
      </w:r>
      <w:r>
        <w:t xml:space="preserve">Minimum cost strategies for sequestering carbon </w:t>
      </w:r>
      <w:r>
        <w:tab/>
        <w:t xml:space="preserve">in forests. </w:t>
      </w:r>
      <w:r>
        <w:rPr>
          <w:i/>
        </w:rPr>
        <w:t>Land Econ</w:t>
      </w:r>
      <w:r>
        <w:rPr>
          <w:b/>
        </w:rPr>
        <w:t>75</w:t>
      </w:r>
      <w:r>
        <w:t>: 360-374.</w:t>
      </w:r>
    </w:p>
    <w:p w:rsidR="00DF141A" w:rsidRDefault="00DF141A" w:rsidP="00DF141A">
      <w:pPr>
        <w:jc w:val="both"/>
      </w:pPr>
      <w:r w:rsidRPr="00D0596B">
        <w:t>Anderson</w:t>
      </w:r>
      <w:r>
        <w:t>,</w:t>
      </w:r>
      <w:r w:rsidRPr="00D0596B">
        <w:t xml:space="preserve"> JR, EE Hardy, JT Roach, RE Witmer. A Land Use and Land Cover Classification </w:t>
      </w:r>
      <w:r>
        <w:tab/>
      </w:r>
      <w:r w:rsidRPr="00D0596B">
        <w:t xml:space="preserve">System for Use with Remote Sensor Data. Washington, DC: United States Government </w:t>
      </w:r>
      <w:r>
        <w:tab/>
      </w:r>
      <w:r w:rsidRPr="00D0596B">
        <w:t xml:space="preserve">Printing Office; 1976. </w:t>
      </w:r>
      <w:r w:rsidRPr="0049673A">
        <w:rPr>
          <w:i/>
        </w:rPr>
        <w:t>Geological Survey Professional Paper</w:t>
      </w:r>
      <w:r w:rsidRPr="00D0596B">
        <w:t xml:space="preserve"> 964.</w:t>
      </w:r>
    </w:p>
    <w:p w:rsidR="00DF141A" w:rsidRDefault="00DF141A" w:rsidP="00DF141A">
      <w:pPr>
        <w:jc w:val="both"/>
      </w:pPr>
      <w:r w:rsidRPr="007F1E72">
        <w:t xml:space="preserve">Antle, JM, and B. Diagana. </w:t>
      </w:r>
      <w:r>
        <w:t>2003. Creating Incentives for the Adoption of Sustainable</w:t>
      </w:r>
      <w:r>
        <w:tab/>
        <w:t>Agricultural Practices in Developing Countries: The Role of Soil Carbon Sequestration.</w:t>
      </w:r>
      <w:r>
        <w:tab/>
      </w:r>
      <w:r>
        <w:rPr>
          <w:i/>
        </w:rPr>
        <w:t xml:space="preserve">American </w:t>
      </w:r>
      <w:r w:rsidRPr="0049673A">
        <w:rPr>
          <w:i/>
        </w:rPr>
        <w:t>Journal of Agricultural Economics</w:t>
      </w:r>
      <w:r>
        <w:rPr>
          <w:b/>
          <w:bCs/>
        </w:rPr>
        <w:t>85</w:t>
      </w:r>
      <w:r>
        <w:t>:1178-1184.</w:t>
      </w:r>
    </w:p>
    <w:p w:rsidR="00DF141A" w:rsidRDefault="00DF141A" w:rsidP="00DF141A">
      <w:pPr>
        <w:jc w:val="both"/>
      </w:pPr>
      <w:r>
        <w:t>Baer, SG, DJ Kitchen, JM Blair, and CW Rice. 2002. Changes in Ecosystem Structure and</w:t>
      </w:r>
      <w:r>
        <w:tab/>
        <w:t xml:space="preserve">Function along a Chronosequence of Restored Grasslands. </w:t>
      </w:r>
      <w:r w:rsidRPr="0049673A">
        <w:rPr>
          <w:i/>
        </w:rPr>
        <w:t>Ecological Applications</w:t>
      </w:r>
      <w:r>
        <w:tab/>
      </w:r>
      <w:r>
        <w:rPr>
          <w:b/>
          <w:bCs/>
        </w:rPr>
        <w:t>12</w:t>
      </w:r>
      <w:r>
        <w:t>:1688-1701.</w:t>
      </w:r>
    </w:p>
    <w:p w:rsidR="00DF141A" w:rsidRDefault="00DF141A" w:rsidP="00DF141A">
      <w:pPr>
        <w:jc w:val="both"/>
      </w:pPr>
      <w:r>
        <w:t xml:space="preserve">Bernoux, M., MDS Carvalho, B. Volkoff, and CC Cerri. 2002. Brazil's soil carbon stocks. </w:t>
      </w:r>
      <w:r>
        <w:tab/>
      </w:r>
      <w:r w:rsidRPr="0049673A">
        <w:rPr>
          <w:i/>
        </w:rPr>
        <w:t>Soil Science Society of America Journal</w:t>
      </w:r>
      <w:r>
        <w:rPr>
          <w:b/>
          <w:bCs/>
        </w:rPr>
        <w:t>66</w:t>
      </w:r>
      <w:r>
        <w:t>:888-896.</w:t>
      </w:r>
    </w:p>
    <w:p w:rsidR="00DF141A" w:rsidRDefault="00DF141A" w:rsidP="00DF141A">
      <w:pPr>
        <w:jc w:val="both"/>
      </w:pPr>
      <w:r w:rsidRPr="00914341">
        <w:t xml:space="preserve">Brown, </w:t>
      </w:r>
      <w:r>
        <w:t>SL, PE Schroeder and JS Kern.</w:t>
      </w:r>
      <w:r w:rsidRPr="00914341">
        <w:t xml:space="preserve"> Spatial distribution of biomas</w:t>
      </w:r>
      <w:r>
        <w:t xml:space="preserve">s in </w:t>
      </w:r>
      <w:r w:rsidRPr="00914341">
        <w:t xml:space="preserve">forests of the </w:t>
      </w:r>
      <w:r>
        <w:t>eastern</w:t>
      </w:r>
      <w:r>
        <w:tab/>
        <w:t>USA.</w:t>
      </w:r>
      <w:r w:rsidRPr="0049673A">
        <w:rPr>
          <w:i/>
        </w:rPr>
        <w:t>Forest Ecology and Management</w:t>
      </w:r>
      <w:r>
        <w:t xml:space="preserve"> 123 (1999: </w:t>
      </w:r>
      <w:r w:rsidRPr="00914341">
        <w:t>81-90.</w:t>
      </w:r>
    </w:p>
    <w:p w:rsidR="00DF141A" w:rsidRDefault="00DF141A" w:rsidP="00DF141A">
      <w:pPr>
        <w:ind w:left="720" w:hanging="720"/>
        <w:jc w:val="both"/>
      </w:pPr>
      <w:r>
        <w:t xml:space="preserve">Brown, S. 2002. Measuring carbon in forests: current status and future challenges. </w:t>
      </w:r>
      <w:r w:rsidRPr="0049673A">
        <w:rPr>
          <w:i/>
        </w:rPr>
        <w:t>Environmental Pollution</w:t>
      </w:r>
      <w:r>
        <w:rPr>
          <w:b/>
          <w:bCs/>
        </w:rPr>
        <w:t>116</w:t>
      </w:r>
      <w:r>
        <w:t>:363-372.</w:t>
      </w:r>
    </w:p>
    <w:p w:rsidR="00DF141A" w:rsidRDefault="00DF141A" w:rsidP="00DF141A">
      <w:pPr>
        <w:ind w:left="720" w:hanging="720"/>
        <w:jc w:val="both"/>
      </w:pPr>
      <w:r>
        <w:t xml:space="preserve">Brown, S. Estimating Biomass and Biomass Change of Tropical Forests: a Primer. FAO Forestry Department; 1997. </w:t>
      </w:r>
      <w:r w:rsidRPr="0049673A">
        <w:rPr>
          <w:i/>
        </w:rPr>
        <w:t>Report for FAO Forestry Paper</w:t>
      </w:r>
      <w:r>
        <w:t xml:space="preserve"> 134.</w:t>
      </w:r>
    </w:p>
    <w:p w:rsidR="00DF141A" w:rsidRDefault="00DF141A" w:rsidP="00DF141A">
      <w:pPr>
        <w:ind w:left="720" w:hanging="720"/>
        <w:jc w:val="both"/>
      </w:pPr>
      <w:r>
        <w:t xml:space="preserve">Brown, S. and PE Schroeder. 1999. Spatial patterns of aboveground production and mortality of woody biomass for eastern US forests. </w:t>
      </w:r>
      <w:r w:rsidRPr="0049673A">
        <w:rPr>
          <w:i/>
        </w:rPr>
        <w:t>Ecological Applications</w:t>
      </w:r>
      <w:r>
        <w:rPr>
          <w:b/>
          <w:bCs/>
        </w:rPr>
        <w:t>9</w:t>
      </w:r>
      <w:r>
        <w:t>:968-980.</w:t>
      </w:r>
    </w:p>
    <w:p w:rsidR="00DF141A" w:rsidRDefault="00DF141A" w:rsidP="00DF141A">
      <w:pPr>
        <w:ind w:left="720" w:hanging="720"/>
        <w:jc w:val="both"/>
      </w:pPr>
      <w:r>
        <w:t>Cairns, MA, PK Haggerty, R. Alvarez, BHJ</w:t>
      </w:r>
      <w:r w:rsidRPr="005E2BD6">
        <w:t xml:space="preserve"> De Jong, and I. Olmsted. 2000. Tropical Mexico's recent land-use change: A region's contribution to the global carbon cycle. </w:t>
      </w:r>
      <w:r w:rsidRPr="0049673A">
        <w:rPr>
          <w:i/>
        </w:rPr>
        <w:t xml:space="preserve">Ecological Applications </w:t>
      </w:r>
      <w:r w:rsidRPr="005E2BD6">
        <w:rPr>
          <w:b/>
          <w:bCs/>
        </w:rPr>
        <w:t>10</w:t>
      </w:r>
      <w:r w:rsidRPr="005E2BD6">
        <w:t>:1426-1441.</w:t>
      </w:r>
    </w:p>
    <w:p w:rsidR="00DF141A" w:rsidRDefault="00DF141A" w:rsidP="00DF141A">
      <w:pPr>
        <w:ind w:left="720" w:hanging="720"/>
        <w:jc w:val="both"/>
      </w:pPr>
      <w:r>
        <w:t xml:space="preserve">Cairns, MA, S. Brown, EH Helmer, and GA Baumgardner. 1997. Root biomass allocation in the world's upland forests. </w:t>
      </w:r>
      <w:r w:rsidRPr="0049673A">
        <w:rPr>
          <w:i/>
        </w:rPr>
        <w:t>Oecologia</w:t>
      </w:r>
      <w:r>
        <w:rPr>
          <w:b/>
          <w:bCs/>
        </w:rPr>
        <w:t>111</w:t>
      </w:r>
      <w:r>
        <w:t>:1-11.</w:t>
      </w:r>
    </w:p>
    <w:p w:rsidR="00DF141A" w:rsidRDefault="00DF141A" w:rsidP="00DF141A">
      <w:pPr>
        <w:ind w:left="720" w:hanging="720"/>
        <w:jc w:val="both"/>
      </w:pPr>
      <w:r>
        <w:t>Canadell, JG and MR</w:t>
      </w:r>
      <w:r w:rsidRPr="005E2BD6">
        <w:t xml:space="preserve"> Raupach. 2008. Managing Forests for Climate Change Mitigation. </w:t>
      </w:r>
      <w:r w:rsidRPr="0049673A">
        <w:rPr>
          <w:i/>
        </w:rPr>
        <w:t>Science</w:t>
      </w:r>
      <w:r w:rsidRPr="005E2BD6">
        <w:rPr>
          <w:b/>
          <w:bCs/>
        </w:rPr>
        <w:t>320</w:t>
      </w:r>
      <w:r w:rsidRPr="005E2BD6">
        <w:t>:1456-1457.</w:t>
      </w:r>
    </w:p>
    <w:p w:rsidR="00DF141A" w:rsidRDefault="00DF141A" w:rsidP="00DF141A">
      <w:pPr>
        <w:ind w:left="720" w:hanging="720"/>
        <w:jc w:val="both"/>
      </w:pPr>
      <w:r>
        <w:t>Cline, WR.</w:t>
      </w:r>
      <w:r w:rsidRPr="005E2BD6">
        <w:t xml:space="preserve"> 1992. The economics of global warming. Instuitute for International Economics, Washington, D.C.</w:t>
      </w:r>
    </w:p>
    <w:p w:rsidR="00DF141A" w:rsidRDefault="00DF141A" w:rsidP="00DF141A">
      <w:pPr>
        <w:ind w:left="720" w:hanging="720"/>
        <w:jc w:val="both"/>
      </w:pPr>
      <w:r>
        <w:t xml:space="preserve">Coomes, DA, RB Allen, NA Scott, C. Goulding, and P. Beets. 2002. Designing systems to monitor carbon stocks in forests and shrublands. </w:t>
      </w:r>
      <w:r w:rsidRPr="000074FC">
        <w:rPr>
          <w:i/>
        </w:rPr>
        <w:t>Forest Ecology and Management</w:t>
      </w:r>
      <w:r>
        <w:rPr>
          <w:b/>
          <w:bCs/>
        </w:rPr>
        <w:t>164</w:t>
      </w:r>
      <w:r>
        <w:t>:89-108.</w:t>
      </w:r>
    </w:p>
    <w:p w:rsidR="00DF141A" w:rsidRPr="00CD6680" w:rsidRDefault="00DF141A" w:rsidP="00DF141A">
      <w:pPr>
        <w:ind w:left="720" w:hanging="720"/>
        <w:jc w:val="both"/>
      </w:pPr>
      <w:r>
        <w:t xml:space="preserve">Conte, MN and MJ Kotchen. 2010.  Explaining the price of voluntary carbons offsets.  </w:t>
      </w:r>
      <w:r>
        <w:rPr>
          <w:i/>
        </w:rPr>
        <w:t>Climate Change Economics</w:t>
      </w:r>
      <w:r>
        <w:t xml:space="preserve"> (forthcoming).</w:t>
      </w:r>
    </w:p>
    <w:p w:rsidR="00DF141A" w:rsidRDefault="00DF141A" w:rsidP="00DF141A">
      <w:pPr>
        <w:ind w:left="720" w:hanging="720"/>
        <w:jc w:val="both"/>
      </w:pPr>
      <w:r w:rsidRPr="005E2BD6">
        <w:t>Capoor</w:t>
      </w:r>
      <w:r>
        <w:t>,</w:t>
      </w:r>
      <w:r w:rsidRPr="005E2BD6">
        <w:t xml:space="preserve"> K</w:t>
      </w:r>
      <w:r>
        <w:t>.</w:t>
      </w:r>
      <w:r w:rsidRPr="005E2BD6">
        <w:t xml:space="preserve">, </w:t>
      </w:r>
      <w:r>
        <w:t>and P. Ambrosi</w:t>
      </w:r>
      <w:r w:rsidRPr="005E2BD6">
        <w:t>. State and Trends of the Carbon Market 2008. Washing</w:t>
      </w:r>
      <w:r>
        <w:t>ton, D.C.: World Bank Institute,</w:t>
      </w:r>
      <w:r w:rsidRPr="005E2BD6">
        <w:t xml:space="preserve"> 2008 May.</w:t>
      </w:r>
    </w:p>
    <w:p w:rsidR="00DF141A" w:rsidRDefault="00DF141A" w:rsidP="00DF141A">
      <w:pPr>
        <w:ind w:left="720" w:hanging="720"/>
        <w:jc w:val="both"/>
      </w:pPr>
      <w:r w:rsidRPr="00AE3E07">
        <w:lastRenderedPageBreak/>
        <w:t xml:space="preserve">Delaney, M., S. Brown, AE Lugo, A. Torres-Lezama, and NB Quintero. </w:t>
      </w:r>
      <w:r>
        <w:t xml:space="preserve">1998. The quantity and turnover of dead wood in permanent forest plots in six life zones of Venezuela. </w:t>
      </w:r>
      <w:r w:rsidRPr="000074FC">
        <w:rPr>
          <w:i/>
        </w:rPr>
        <w:t>Biotropica</w:t>
      </w:r>
      <w:r w:rsidRPr="003F3B70">
        <w:rPr>
          <w:b/>
          <w:bCs/>
        </w:rPr>
        <w:t>30</w:t>
      </w:r>
      <w:r w:rsidRPr="003F3B70">
        <w:t>:2-11.</w:t>
      </w:r>
    </w:p>
    <w:p w:rsidR="00DF141A" w:rsidRPr="005E2BD6" w:rsidRDefault="00DF141A" w:rsidP="00DF141A">
      <w:pPr>
        <w:ind w:left="720" w:hanging="720"/>
        <w:jc w:val="both"/>
      </w:pPr>
      <w:r>
        <w:t>Detwiler, R</w:t>
      </w:r>
      <w:r w:rsidRPr="005E2BD6">
        <w:t xml:space="preserve">P. 1986. Land Use Change and the Global Carbon Cycle: The Role of Tropical Soils. </w:t>
      </w:r>
      <w:r w:rsidRPr="000074FC">
        <w:rPr>
          <w:i/>
        </w:rPr>
        <w:t>Biogeochemistry</w:t>
      </w:r>
      <w:r w:rsidRPr="005E2BD6">
        <w:rPr>
          <w:b/>
          <w:bCs/>
        </w:rPr>
        <w:t>2</w:t>
      </w:r>
      <w:r w:rsidRPr="005E2BD6">
        <w:t>:67-93.</w:t>
      </w:r>
    </w:p>
    <w:p w:rsidR="00DF141A" w:rsidRDefault="00DF141A" w:rsidP="00DF141A">
      <w:pPr>
        <w:ind w:left="720" w:hanging="720"/>
        <w:jc w:val="both"/>
      </w:pPr>
      <w:r w:rsidRPr="005415D9">
        <w:t>Dias</w:t>
      </w:r>
      <w:r>
        <w:t>,</w:t>
      </w:r>
      <w:r w:rsidRPr="005415D9">
        <w:t xml:space="preserve"> AC, </w:t>
      </w:r>
      <w:r>
        <w:t>M. Louro</w:t>
      </w:r>
      <w:r w:rsidRPr="005415D9">
        <w:t xml:space="preserve">, </w:t>
      </w:r>
      <w:r>
        <w:t>L. Arroja</w:t>
      </w:r>
      <w:r w:rsidRPr="005415D9">
        <w:t xml:space="preserve">, and </w:t>
      </w:r>
      <w:r>
        <w:t>I. Capela</w:t>
      </w:r>
      <w:r w:rsidRPr="005415D9">
        <w:t xml:space="preserve">. 2007. </w:t>
      </w:r>
      <w:r>
        <w:t xml:space="preserve">Carbon estimation in harvested wood products using a country-specific method: Portugal as a case study. </w:t>
      </w:r>
      <w:r w:rsidRPr="000074FC">
        <w:rPr>
          <w:i/>
        </w:rPr>
        <w:t>Environmental Science &amp; Policy</w:t>
      </w:r>
      <w:r>
        <w:t xml:space="preserve"> 10 (3):250-259.</w:t>
      </w:r>
    </w:p>
    <w:p w:rsidR="00DF141A" w:rsidRDefault="00DF141A" w:rsidP="00DF141A">
      <w:pPr>
        <w:ind w:left="720" w:hanging="720"/>
        <w:jc w:val="both"/>
      </w:pPr>
      <w:r>
        <w:t>Edinburgh Centre for Carbon Management. The Establishing Mechanisms for Payments for Carbon Environmental Services in the Eastern Arc Mountains, Tanzania; 2007 May 2007.</w:t>
      </w:r>
    </w:p>
    <w:p w:rsidR="00DF141A" w:rsidRDefault="00DF141A" w:rsidP="00DF141A">
      <w:pPr>
        <w:ind w:left="720" w:hanging="720"/>
        <w:jc w:val="both"/>
      </w:pPr>
      <w:r>
        <w:t>Fargione, J., J. Hill, D. Tilman, S. Polasky, and P.</w:t>
      </w:r>
      <w:r w:rsidRPr="005E2BD6">
        <w:t xml:space="preserve"> Hawthorne. 2008. Land Clearing and the Biofuel Carbon Debt. </w:t>
      </w:r>
      <w:r w:rsidRPr="000074FC">
        <w:rPr>
          <w:i/>
        </w:rPr>
        <w:t>Science</w:t>
      </w:r>
      <w:r w:rsidRPr="005E2BD6">
        <w:rPr>
          <w:b/>
          <w:bCs/>
        </w:rPr>
        <w:t>319</w:t>
      </w:r>
      <w:r w:rsidRPr="005E2BD6">
        <w:t>:1235-1238.</w:t>
      </w:r>
    </w:p>
    <w:p w:rsidR="00DF141A" w:rsidRDefault="00DF141A" w:rsidP="00DF141A">
      <w:pPr>
        <w:ind w:left="720" w:hanging="720"/>
        <w:jc w:val="both"/>
      </w:pPr>
      <w:r>
        <w:t xml:space="preserve">Feng, H. 2005. The dynamics of carbon sequestration and alternative carbon accounting, with an application to the upper Mississippi River Basin. </w:t>
      </w:r>
      <w:r w:rsidRPr="000074FC">
        <w:rPr>
          <w:i/>
        </w:rPr>
        <w:t>Ecological Economics</w:t>
      </w:r>
      <w:r>
        <w:rPr>
          <w:b/>
          <w:bCs/>
        </w:rPr>
        <w:t>54</w:t>
      </w:r>
      <w:r>
        <w:t>:23-35.</w:t>
      </w:r>
    </w:p>
    <w:p w:rsidR="00DF141A" w:rsidRDefault="00DF141A" w:rsidP="00DF141A">
      <w:pPr>
        <w:ind w:left="720" w:hanging="720"/>
        <w:jc w:val="both"/>
      </w:pPr>
      <w:r>
        <w:t>Gaston, G., S.</w:t>
      </w:r>
      <w:r w:rsidRPr="005E2BD6">
        <w:t xml:space="preserve"> Brown</w:t>
      </w:r>
      <w:r>
        <w:t>, M. Lorenzini, and KD</w:t>
      </w:r>
      <w:r w:rsidRPr="005E2BD6">
        <w:t xml:space="preserve"> Singh. 1998. State and change in carbon pools in the forests of tropical Africa. </w:t>
      </w:r>
      <w:r w:rsidRPr="000074FC">
        <w:rPr>
          <w:i/>
        </w:rPr>
        <w:t>Global Change Biology</w:t>
      </w:r>
      <w:r w:rsidRPr="005E2BD6">
        <w:rPr>
          <w:b/>
          <w:bCs/>
        </w:rPr>
        <w:t>4</w:t>
      </w:r>
      <w:r w:rsidRPr="005E2BD6">
        <w:t>:97-114.</w:t>
      </w:r>
    </w:p>
    <w:p w:rsidR="00DF141A" w:rsidRDefault="00DF141A" w:rsidP="00DF141A">
      <w:pPr>
        <w:ind w:left="720" w:hanging="720"/>
        <w:jc w:val="both"/>
      </w:pPr>
      <w:r>
        <w:t xml:space="preserve">Glenday, J. 2006. Carbon storage and emissions offset potential in an East African tropical rainforest. </w:t>
      </w:r>
      <w:r w:rsidRPr="000074FC">
        <w:rPr>
          <w:i/>
        </w:rPr>
        <w:t>Forest Ecology and Management</w:t>
      </w:r>
      <w:r>
        <w:rPr>
          <w:b/>
          <w:bCs/>
        </w:rPr>
        <w:t>235</w:t>
      </w:r>
      <w:r>
        <w:t>:72-83.</w:t>
      </w:r>
    </w:p>
    <w:p w:rsidR="00DF141A" w:rsidRDefault="00DF141A" w:rsidP="00DF141A">
      <w:pPr>
        <w:ind w:left="720" w:hanging="720"/>
        <w:jc w:val="both"/>
      </w:pPr>
      <w:r>
        <w:t xml:space="preserve">Grace, J., J. San Jose, P. Meir, HS Miranda, and RA Montes. 2006. Productivity and carbon fluxes of tropical savannas. </w:t>
      </w:r>
      <w:r w:rsidRPr="000074FC">
        <w:rPr>
          <w:i/>
        </w:rPr>
        <w:t>Journal of Biogeography</w:t>
      </w:r>
      <w:r>
        <w:rPr>
          <w:b/>
          <w:bCs/>
        </w:rPr>
        <w:t>33</w:t>
      </w:r>
      <w:r>
        <w:t>:387-400.</w:t>
      </w:r>
    </w:p>
    <w:p w:rsidR="00DF141A" w:rsidRDefault="00DF141A" w:rsidP="00DF141A">
      <w:pPr>
        <w:ind w:left="720" w:hanging="720"/>
        <w:jc w:val="both"/>
      </w:pPr>
      <w:r>
        <w:t xml:space="preserve">Green, C, V. Avitabile, EP Farrell, and KA Byrne. 2006. Reporting harvested wood products in national greenhouse gas inventories: Implications for Ireland. </w:t>
      </w:r>
      <w:r w:rsidRPr="000074FC">
        <w:rPr>
          <w:i/>
        </w:rPr>
        <w:t>Biomass and Bioenergy</w:t>
      </w:r>
      <w:r>
        <w:t xml:space="preserve"> 30(2): 105-114.</w:t>
      </w:r>
    </w:p>
    <w:p w:rsidR="00DF141A" w:rsidRDefault="00DF141A" w:rsidP="00DF141A">
      <w:pPr>
        <w:ind w:left="720" w:hanging="720"/>
        <w:jc w:val="both"/>
      </w:pPr>
      <w:r>
        <w:t>Gibbs, HK, S Brown, JO Niles, and JA</w:t>
      </w:r>
      <w:r w:rsidRPr="005E2BD6">
        <w:t xml:space="preserve"> Foley. 2007. Monitoring and estimating tropical forest carbon stocks: making REDD a reality. </w:t>
      </w:r>
      <w:r w:rsidRPr="000074FC">
        <w:rPr>
          <w:i/>
        </w:rPr>
        <w:t>Environmental Research Letters</w:t>
      </w:r>
      <w:r w:rsidRPr="005E2BD6">
        <w:rPr>
          <w:b/>
          <w:bCs/>
        </w:rPr>
        <w:t>2</w:t>
      </w:r>
      <w:r w:rsidRPr="005E2BD6">
        <w:t>:045023.</w:t>
      </w:r>
    </w:p>
    <w:p w:rsidR="00DF141A" w:rsidRDefault="00DF141A" w:rsidP="00DF141A">
      <w:pPr>
        <w:ind w:left="720" w:hanging="720"/>
        <w:jc w:val="both"/>
      </w:pPr>
      <w:r w:rsidRPr="005E2BD6">
        <w:t>Hamilton</w:t>
      </w:r>
      <w:r>
        <w:t>,</w:t>
      </w:r>
      <w:r w:rsidRPr="005E2BD6">
        <w:t xml:space="preserve"> K</w:t>
      </w:r>
      <w:r>
        <w:t>.</w:t>
      </w:r>
      <w:r w:rsidRPr="005E2BD6">
        <w:t xml:space="preserve">, </w:t>
      </w:r>
      <w:r>
        <w:t>M Sjardin</w:t>
      </w:r>
      <w:r w:rsidRPr="005E2BD6">
        <w:t xml:space="preserve">, </w:t>
      </w:r>
      <w:r>
        <w:t>T Marcello</w:t>
      </w:r>
      <w:r w:rsidRPr="005E2BD6">
        <w:t xml:space="preserve">, </w:t>
      </w:r>
      <w:r>
        <w:t>and G Xu</w:t>
      </w:r>
      <w:r w:rsidRPr="005E2BD6">
        <w:t>. Forging a Frontier: State of the</w:t>
      </w:r>
      <w:r>
        <w:t xml:space="preserve"> Voluntary Carbon Markets 2008. </w:t>
      </w:r>
      <w:r w:rsidRPr="005E2BD6">
        <w:t>Washington, D.C.: Ecosystem Marketplace and New Carbon Finance; 2008.</w:t>
      </w:r>
    </w:p>
    <w:p w:rsidR="00DF141A" w:rsidRDefault="00DF141A" w:rsidP="00DF141A">
      <w:pPr>
        <w:ind w:left="720" w:hanging="720"/>
        <w:jc w:val="both"/>
      </w:pPr>
      <w:r>
        <w:t xml:space="preserve">Hope, CW. 2006. The social cost of carbon: what does it actually depend on? </w:t>
      </w:r>
      <w:r w:rsidRPr="000074FC">
        <w:rPr>
          <w:i/>
        </w:rPr>
        <w:t>Climate Policy</w:t>
      </w:r>
      <w:r>
        <w:t xml:space="preserve"> 6: 565–572</w:t>
      </w:r>
    </w:p>
    <w:p w:rsidR="00DF141A" w:rsidRPr="007F1E72" w:rsidRDefault="00DF141A" w:rsidP="00DF141A">
      <w:pPr>
        <w:ind w:left="720" w:hanging="720"/>
        <w:jc w:val="both"/>
        <w:rPr>
          <w:lang w:val="es-ES"/>
        </w:rPr>
      </w:pPr>
      <w:r>
        <w:t>Houghton, RA. 2005.</w:t>
      </w:r>
      <w:r w:rsidRPr="00914341">
        <w:t xml:space="preserve"> Tropical deforestatio</w:t>
      </w:r>
      <w:r>
        <w:t xml:space="preserve">n as a source of greenhouse gas </w:t>
      </w:r>
      <w:r w:rsidRPr="00914341">
        <w:t>emissions. In: Tropical Deforestation a</w:t>
      </w:r>
      <w:r>
        <w:t xml:space="preserve">nd Climate Change, Moutinho and </w:t>
      </w:r>
      <w:r w:rsidRPr="00914341">
        <w:t xml:space="preserve">Schwartzman [eds.]. </w:t>
      </w:r>
      <w:r w:rsidRPr="00914341">
        <w:rPr>
          <w:lang w:val="es-ES"/>
        </w:rPr>
        <w:t>Instituto de Pesquisa</w:t>
      </w:r>
      <w:r>
        <w:rPr>
          <w:lang w:val="es-ES"/>
        </w:rPr>
        <w:t xml:space="preserve"> Ambiental da Amazonia and Environmental Defense, Belem,</w:t>
      </w:r>
      <w:r w:rsidRPr="007F1E72">
        <w:rPr>
          <w:lang w:val="es-ES"/>
        </w:rPr>
        <w:t>Brazil.</w:t>
      </w:r>
    </w:p>
    <w:p w:rsidR="00DF141A" w:rsidRDefault="00DF141A" w:rsidP="00DF141A">
      <w:pPr>
        <w:ind w:left="720" w:hanging="720"/>
        <w:jc w:val="both"/>
      </w:pPr>
      <w:r>
        <w:t xml:space="preserve">Houghton, RA, and JL Hackler. 2006. Emissions of carbon from land use change in sub-Saharan Africa. </w:t>
      </w:r>
      <w:r w:rsidRPr="000074FC">
        <w:rPr>
          <w:i/>
        </w:rPr>
        <w:t>Journal of Geophysical Research</w:t>
      </w:r>
      <w:r>
        <w:rPr>
          <w:b/>
          <w:bCs/>
        </w:rPr>
        <w:t>111</w:t>
      </w:r>
      <w:r>
        <w:t xml:space="preserve">. </w:t>
      </w:r>
    </w:p>
    <w:p w:rsidR="00DF141A" w:rsidRDefault="00DF141A" w:rsidP="00DF141A">
      <w:pPr>
        <w:ind w:left="720" w:hanging="720"/>
        <w:jc w:val="both"/>
        <w:rPr>
          <w:lang w:val="es-ES"/>
        </w:rPr>
      </w:pPr>
      <w:r>
        <w:t xml:space="preserve">The Intergovernmental Panel on Climate Change (IPCC). 2006. 2006 IPCC Guidelines for National Greenhouse Gas Inventories, Volume 4: Agriculture, Forestry and Other Land Use. Prepared by the National Greenhouse Gas Inventories Programme, Eggleston, HS, L. Buendia, K. Miwa, T. Ngara, and K. Tanabe (eds). </w:t>
      </w:r>
      <w:r>
        <w:rPr>
          <w:lang w:val="es-ES"/>
        </w:rPr>
        <w:t>Institute for Global Environmental Strategies (IGES), Hayama, Japan. &lt;</w:t>
      </w:r>
      <w:hyperlink r:id="rId48" w:history="1">
        <w:r w:rsidRPr="007F11C7">
          <w:rPr>
            <w:rStyle w:val="Hyperlink"/>
            <w:lang w:val="es-ES"/>
          </w:rPr>
          <w:t>http://www.ipcc-nggip.iges.or.jp/public/2006gl/ vol4.html</w:t>
        </w:r>
      </w:hyperlink>
      <w:r>
        <w:rPr>
          <w:lang w:val="es-ES"/>
        </w:rPr>
        <w:t>&gt;.</w:t>
      </w:r>
    </w:p>
    <w:p w:rsidR="00DF141A" w:rsidRDefault="00DF141A" w:rsidP="00DF141A">
      <w:pPr>
        <w:ind w:left="720" w:hanging="720"/>
        <w:jc w:val="both"/>
      </w:pPr>
      <w:r>
        <w:t>Jenny, H. 1980. The Soil Resource. Springer, New York.</w:t>
      </w:r>
    </w:p>
    <w:p w:rsidR="00DF141A" w:rsidRDefault="00DF141A" w:rsidP="00DF141A">
      <w:pPr>
        <w:ind w:left="720" w:hanging="720"/>
        <w:jc w:val="both"/>
      </w:pPr>
      <w:r>
        <w:t xml:space="preserve">Lal, R. 2004. Soil Carbon Sequestration Impacts on Global Climate Change and Food Security. </w:t>
      </w:r>
      <w:r w:rsidRPr="000074FC">
        <w:rPr>
          <w:i/>
        </w:rPr>
        <w:t>Science</w:t>
      </w:r>
      <w:r>
        <w:rPr>
          <w:b/>
          <w:bCs/>
        </w:rPr>
        <w:t>304</w:t>
      </w:r>
      <w:r>
        <w:t>:1623-1627.</w:t>
      </w:r>
    </w:p>
    <w:p w:rsidR="00DF141A" w:rsidRDefault="00DF141A" w:rsidP="00DF141A">
      <w:pPr>
        <w:ind w:left="720" w:hanging="720"/>
        <w:jc w:val="both"/>
      </w:pPr>
      <w:r w:rsidRPr="005E2BD6">
        <w:lastRenderedPageBreak/>
        <w:t>Mackey</w:t>
      </w:r>
      <w:r>
        <w:t>,</w:t>
      </w:r>
      <w:r w:rsidRPr="005E2BD6">
        <w:t xml:space="preserve"> B, Keith H, Berry S</w:t>
      </w:r>
      <w:r>
        <w:t>.</w:t>
      </w:r>
      <w:r w:rsidRPr="005E2BD6">
        <w:t>L, Lindenmayer DB. Green carbon: the role of natural forests in carbon storage. Part 1, A green</w:t>
      </w:r>
      <w:r>
        <w:t xml:space="preserve"> carbon account of Australia's South</w:t>
      </w:r>
      <w:r w:rsidRPr="005E2BD6">
        <w:t>eastern Eucalypt forest, and policy implications. Canber</w:t>
      </w:r>
      <w:r>
        <w:t>ra, Australia: ANU E Press,</w:t>
      </w:r>
      <w:r w:rsidRPr="005E2BD6">
        <w:t xml:space="preserve"> 2008.</w:t>
      </w:r>
    </w:p>
    <w:p w:rsidR="00DF141A" w:rsidRDefault="00DF141A" w:rsidP="00DF141A">
      <w:pPr>
        <w:ind w:left="720" w:hanging="720"/>
        <w:jc w:val="both"/>
      </w:pPr>
      <w:r>
        <w:t xml:space="preserve">Makundi, WR. 2001. Carbon mitigation potential and costs in the forest sector in Tanzania. Mitigation and Adaptation Strategies for Global Change </w:t>
      </w:r>
      <w:r>
        <w:rPr>
          <w:b/>
          <w:bCs/>
        </w:rPr>
        <w:t>6</w:t>
      </w:r>
      <w:r>
        <w:t>:335-353.</w:t>
      </w:r>
    </w:p>
    <w:p w:rsidR="00DF141A" w:rsidRDefault="00DF141A" w:rsidP="00DF141A">
      <w:pPr>
        <w:ind w:left="720" w:hanging="720"/>
        <w:jc w:val="both"/>
      </w:pPr>
      <w:r w:rsidRPr="00AE3E07">
        <w:t xml:space="preserve">Malhi, Y., D. Wood, TR Baker, et al. 2006. </w:t>
      </w:r>
      <w:r>
        <w:t xml:space="preserve">The regional variation of aboveground live biomass in old-growth Amazonian forests. </w:t>
      </w:r>
      <w:r w:rsidRPr="000074FC">
        <w:rPr>
          <w:i/>
        </w:rPr>
        <w:t>Global Change Biology</w:t>
      </w:r>
      <w:r>
        <w:rPr>
          <w:b/>
          <w:bCs/>
        </w:rPr>
        <w:t>12</w:t>
      </w:r>
      <w:r>
        <w:t>:1107-1138.</w:t>
      </w:r>
    </w:p>
    <w:p w:rsidR="00DF141A" w:rsidRDefault="00DF141A" w:rsidP="00DF141A">
      <w:pPr>
        <w:ind w:left="720" w:hanging="720"/>
        <w:jc w:val="both"/>
      </w:pPr>
      <w:r>
        <w:t xml:space="preserve">Malimbwi, RE, B. Solberg, and E. Luoga. 1994. Estimation of biomass and volume in miombo woodland at Kitungalo Forest Reserve Tanzania. </w:t>
      </w:r>
      <w:r w:rsidRPr="000074FC">
        <w:rPr>
          <w:i/>
        </w:rPr>
        <w:t>Journal of Tropical Forest Science</w:t>
      </w:r>
      <w:r>
        <w:rPr>
          <w:b/>
          <w:bCs/>
        </w:rPr>
        <w:t>7</w:t>
      </w:r>
      <w:r>
        <w:t>:230-242.</w:t>
      </w:r>
    </w:p>
    <w:p w:rsidR="00DF141A" w:rsidRPr="00D65736" w:rsidRDefault="00DF141A" w:rsidP="00DF141A">
      <w:pPr>
        <w:ind w:left="720" w:hanging="720"/>
        <w:jc w:val="both"/>
      </w:pPr>
      <w:r>
        <w:t>McLauchlan, KK., SE Hobbie, and WM</w:t>
      </w:r>
      <w:r w:rsidRPr="005E2BD6">
        <w:t xml:space="preserve"> Post. 2006.</w:t>
      </w:r>
      <w:r>
        <w:t xml:space="preserve"> Conversion From Agriculture To </w:t>
      </w:r>
      <w:r w:rsidRPr="005E2BD6">
        <w:t xml:space="preserve">Grassland Builds Soil Organic Matter On Decadal Timescales. </w:t>
      </w:r>
      <w:r w:rsidRPr="000074FC">
        <w:rPr>
          <w:i/>
        </w:rPr>
        <w:t>Ecological Applications</w:t>
      </w:r>
      <w:r w:rsidRPr="005E2BD6">
        <w:rPr>
          <w:b/>
          <w:bCs/>
        </w:rPr>
        <w:t>16</w:t>
      </w:r>
      <w:r w:rsidRPr="005E2BD6">
        <w:t>:143-153.</w:t>
      </w:r>
    </w:p>
    <w:p w:rsidR="00DF141A" w:rsidRDefault="00DF141A" w:rsidP="00DF141A">
      <w:pPr>
        <w:ind w:left="720" w:hanging="720"/>
        <w:jc w:val="both"/>
      </w:pPr>
      <w:r>
        <w:t xml:space="preserve">Miner R. 2006. The 100-Year Method for Forecasting Carbon Sequestration in Forest Products in Use. Mitigation and Adaptation Strategies for Global Change (On-line only: </w:t>
      </w:r>
      <w:hyperlink r:id="rId49" w:history="1">
        <w:r w:rsidRPr="003A78FE">
          <w:rPr>
            <w:rStyle w:val="Hyperlink"/>
          </w:rPr>
          <w:t>http://www.springerlink.com/content/2l672741l7366751/fulltext.pdf</w:t>
        </w:r>
      </w:hyperlink>
      <w:r>
        <w:t>)</w:t>
      </w:r>
    </w:p>
    <w:p w:rsidR="00DF141A" w:rsidRDefault="00DF141A" w:rsidP="00DF141A">
      <w:pPr>
        <w:ind w:left="720" w:hanging="720"/>
        <w:jc w:val="both"/>
      </w:pPr>
      <w:r w:rsidRPr="005E2BD6">
        <w:t>Mollicon</w:t>
      </w:r>
      <w:r>
        <w:t>e D., F. Achard, S. Federici, H. Eva, G. Grassi, A. Belward, F. Raes, G. Seufert, H. Stibig, G. Matteucci, and E.</w:t>
      </w:r>
      <w:r w:rsidRPr="005E2BD6">
        <w:t xml:space="preserve"> Schulze. 2007. An incentive mechanism for reducing emissions from conversion of intact and non-intact forests. </w:t>
      </w:r>
      <w:r w:rsidRPr="000074FC">
        <w:rPr>
          <w:i/>
        </w:rPr>
        <w:t>Climatic Change</w:t>
      </w:r>
      <w:r w:rsidRPr="005E2BD6">
        <w:rPr>
          <w:b/>
          <w:bCs/>
        </w:rPr>
        <w:t>83</w:t>
      </w:r>
      <w:r w:rsidRPr="005E2BD6">
        <w:t>:477-493.</w:t>
      </w:r>
    </w:p>
    <w:p w:rsidR="00DF141A" w:rsidRDefault="00DF141A" w:rsidP="00DF141A">
      <w:pPr>
        <w:ind w:left="720" w:hanging="720"/>
        <w:jc w:val="both"/>
      </w:pPr>
      <w:r>
        <w:t xml:space="preserve">Munishi, PKT and TH Shear. 2004. Carbon Storage in Afromontane Rain Forests of the Eastern Arc Mountains of Tanzania: their Net Contribution to Atmospheric Carbon. </w:t>
      </w:r>
      <w:r w:rsidRPr="000074FC">
        <w:rPr>
          <w:i/>
        </w:rPr>
        <w:t>Journal of Tropical Forest Science</w:t>
      </w:r>
      <w:r>
        <w:rPr>
          <w:b/>
          <w:bCs/>
        </w:rPr>
        <w:t>16</w:t>
      </w:r>
      <w:r>
        <w:t>:78-93.</w:t>
      </w:r>
    </w:p>
    <w:p w:rsidR="00DF141A" w:rsidRDefault="00DF141A" w:rsidP="00DF141A">
      <w:pPr>
        <w:ind w:left="720" w:hanging="720"/>
        <w:jc w:val="both"/>
      </w:pPr>
      <w:r>
        <w:t>Murphy, JM</w:t>
      </w:r>
      <w:r w:rsidRPr="00625D8C">
        <w:rPr>
          <w:i/>
        </w:rPr>
        <w:t xml:space="preserve">et </w:t>
      </w:r>
      <w:r>
        <w:rPr>
          <w:i/>
        </w:rPr>
        <w:t>al</w:t>
      </w:r>
      <w:r>
        <w:t>.</w:t>
      </w:r>
      <w:r w:rsidRPr="005A29FD">
        <w:t xml:space="preserve"> 2004. </w:t>
      </w:r>
      <w:r>
        <w:t xml:space="preserve">Quantification of modelling uncertainties in a large ensemble of climate change simulations. </w:t>
      </w:r>
      <w:r w:rsidRPr="000074FC">
        <w:rPr>
          <w:i/>
        </w:rPr>
        <w:t>Nature</w:t>
      </w:r>
      <w:r>
        <w:t xml:space="preserve"> 430, 768–772.</w:t>
      </w:r>
    </w:p>
    <w:p w:rsidR="00DF141A" w:rsidRDefault="00DF141A" w:rsidP="00DF141A">
      <w:pPr>
        <w:ind w:left="720" w:hanging="720"/>
        <w:jc w:val="both"/>
      </w:pPr>
      <w:r>
        <w:t>Murray, B., B. Sohngen, and M.</w:t>
      </w:r>
      <w:r w:rsidRPr="005E2BD6">
        <w:t xml:space="preserve"> Ross. 2007. Economic consequences of consideration of permanence, leakage and additionality for soil carbon sequestration projects. </w:t>
      </w:r>
      <w:r w:rsidRPr="000074FC">
        <w:rPr>
          <w:i/>
        </w:rPr>
        <w:t>Climatic Change</w:t>
      </w:r>
      <w:r w:rsidRPr="005E2BD6">
        <w:rPr>
          <w:b/>
          <w:bCs/>
        </w:rPr>
        <w:t>80</w:t>
      </w:r>
      <w:r w:rsidRPr="005E2BD6">
        <w:t>:127-143.</w:t>
      </w:r>
    </w:p>
    <w:p w:rsidR="00DF141A" w:rsidRDefault="00DF141A" w:rsidP="00DF141A">
      <w:pPr>
        <w:ind w:left="720" w:hanging="720"/>
        <w:jc w:val="both"/>
      </w:pPr>
      <w:r>
        <w:t>Nascimento, HEM, and WF</w:t>
      </w:r>
      <w:r w:rsidRPr="00223E8F">
        <w:t xml:space="preserve"> Laurance. </w:t>
      </w:r>
      <w:r>
        <w:t xml:space="preserve">2002. Total aboveground biomass in central Amazonian rainforests: a landscape-scale study. </w:t>
      </w:r>
      <w:r w:rsidRPr="000074FC">
        <w:rPr>
          <w:i/>
        </w:rPr>
        <w:t>Forest Ecology and Management</w:t>
      </w:r>
      <w:r>
        <w:rPr>
          <w:b/>
          <w:bCs/>
        </w:rPr>
        <w:t>168</w:t>
      </w:r>
      <w:r>
        <w:t>:311-321.</w:t>
      </w:r>
    </w:p>
    <w:p w:rsidR="00DF141A" w:rsidRDefault="00DF141A" w:rsidP="00DF141A">
      <w:pPr>
        <w:ind w:left="720" w:hanging="720"/>
        <w:jc w:val="both"/>
      </w:pPr>
      <w:r>
        <w:t xml:space="preserve">Nelson, E., G. Mendoza, J. Regetz, S. Polasky, H. Tallis, D. Cameron, K. Chan, G. Daily, J. Goldstein, P. Kareiva, E. Lonsdorf, R. Naidoo, TH Ricketts, and R. Shaw. 2008. Modeling Multiple Ecosystem Services and Tradeoffs at Landscape Scales. </w:t>
      </w:r>
      <w:r w:rsidRPr="000074FC">
        <w:rPr>
          <w:i/>
        </w:rPr>
        <w:t>Frontiers in Ecology and the Environment</w:t>
      </w:r>
      <w:r>
        <w:rPr>
          <w:b/>
          <w:bCs/>
        </w:rPr>
        <w:t>Forthcoming</w:t>
      </w:r>
      <w:r>
        <w:t>.</w:t>
      </w:r>
    </w:p>
    <w:p w:rsidR="00DF141A" w:rsidRDefault="00DF141A" w:rsidP="00DF141A">
      <w:pPr>
        <w:ind w:left="720" w:hanging="720"/>
        <w:jc w:val="both"/>
      </w:pPr>
      <w:r>
        <w:t xml:space="preserve">Nordhaus, W. 2007a. Critical Assumptions in the Stern Review on Climate Change. </w:t>
      </w:r>
      <w:r w:rsidRPr="000074FC">
        <w:rPr>
          <w:i/>
        </w:rPr>
        <w:t>Science</w:t>
      </w:r>
      <w:r>
        <w:t xml:space="preserve"> 317 (5835): 201–202.</w:t>
      </w:r>
    </w:p>
    <w:p w:rsidR="00DF141A" w:rsidRDefault="00DF141A" w:rsidP="00DF141A">
      <w:pPr>
        <w:ind w:left="720" w:hanging="720"/>
        <w:jc w:val="both"/>
      </w:pPr>
      <w:r>
        <w:t xml:space="preserve">Nordhaus, W. 2007b. A Review of the Stern Review on the Economics of Global Warming. </w:t>
      </w:r>
      <w:r w:rsidRPr="000074FC">
        <w:rPr>
          <w:i/>
        </w:rPr>
        <w:t>Journal of Economic Literature</w:t>
      </w:r>
      <w:r>
        <w:t xml:space="preserve"> 45: 686-702.</w:t>
      </w:r>
    </w:p>
    <w:p w:rsidR="00DF141A" w:rsidRPr="00D0596B" w:rsidRDefault="00DF141A" w:rsidP="00DF141A">
      <w:pPr>
        <w:jc w:val="both"/>
      </w:pPr>
      <w:r>
        <w:t>Pagiola, S.</w:t>
      </w:r>
      <w:r w:rsidRPr="00914341">
        <w:t xml:space="preserve"> 20</w:t>
      </w:r>
      <w:r>
        <w:t xml:space="preserve">08. Payments for environmental services in Costa Rica. </w:t>
      </w:r>
      <w:r w:rsidRPr="000074FC">
        <w:rPr>
          <w:i/>
        </w:rPr>
        <w:t>Ecological Economics</w:t>
      </w:r>
      <w:r>
        <w:t xml:space="preserve"> 65</w:t>
      </w:r>
      <w:r>
        <w:tab/>
        <w:t>(</w:t>
      </w:r>
      <w:r w:rsidRPr="00914341">
        <w:t>4): 712-724.</w:t>
      </w:r>
    </w:p>
    <w:p w:rsidR="00DF141A" w:rsidRDefault="00DF141A" w:rsidP="00DF141A">
      <w:pPr>
        <w:ind w:left="720" w:hanging="720"/>
        <w:jc w:val="both"/>
      </w:pPr>
      <w:r>
        <w:t xml:space="preserve">Plantinga, AJ, and RA Birdsey. 1994. Optimal Forest Stand Management When Benefits are Derived from Carbon. </w:t>
      </w:r>
      <w:r w:rsidRPr="000074FC">
        <w:rPr>
          <w:i/>
        </w:rPr>
        <w:t>Natural Resource Modeling</w:t>
      </w:r>
      <w:r>
        <w:t xml:space="preserve"> 8(4): 373-387.</w:t>
      </w:r>
    </w:p>
    <w:p w:rsidR="00DF141A" w:rsidRPr="001C2028" w:rsidRDefault="00DF141A" w:rsidP="00DF141A">
      <w:pPr>
        <w:ind w:left="720" w:hanging="720"/>
        <w:jc w:val="both"/>
      </w:pPr>
      <w:r>
        <w:t xml:space="preserve">Polasky, S, E Nelson, D Pennington, and K Johnson. 2010. The Impact of Land-Use Change on Ecosystem Services, Biodiversity and Returns to Landowners: A Case Study in the State of Minnesota. </w:t>
      </w:r>
      <w:r w:rsidRPr="001C2028">
        <w:rPr>
          <w:i/>
        </w:rPr>
        <w:t>Environmental and Resource Economics</w:t>
      </w:r>
      <w:r>
        <w:t>, in press.</w:t>
      </w:r>
    </w:p>
    <w:p w:rsidR="00DF141A" w:rsidRDefault="00DF141A" w:rsidP="00DF141A">
      <w:pPr>
        <w:ind w:left="720" w:hanging="720"/>
        <w:jc w:val="both"/>
      </w:pPr>
      <w:r>
        <w:t xml:space="preserve">Post, WM, WR Emanuel, PJ Zinke, and AG Stangenberger. 1982. Soil carbon pools and world life zones. </w:t>
      </w:r>
      <w:r w:rsidRPr="000074FC">
        <w:rPr>
          <w:i/>
        </w:rPr>
        <w:t>Nature</w:t>
      </w:r>
      <w:r>
        <w:rPr>
          <w:b/>
          <w:bCs/>
        </w:rPr>
        <w:t>298</w:t>
      </w:r>
      <w:r>
        <w:t>:156-159.</w:t>
      </w:r>
    </w:p>
    <w:p w:rsidR="00DF141A" w:rsidRDefault="00DF141A" w:rsidP="00DF141A">
      <w:pPr>
        <w:ind w:left="720" w:hanging="720"/>
        <w:jc w:val="both"/>
      </w:pPr>
      <w:r>
        <w:lastRenderedPageBreak/>
        <w:t xml:space="preserve">Post, WM, KC Kwon. 2000. Soil carbon sequestration and land-use change: processes and potential. </w:t>
      </w:r>
      <w:r w:rsidRPr="000074FC">
        <w:rPr>
          <w:i/>
        </w:rPr>
        <w:t>Global Change Biology</w:t>
      </w:r>
      <w:r>
        <w:rPr>
          <w:b/>
          <w:bCs/>
        </w:rPr>
        <w:t>6</w:t>
      </w:r>
      <w:r>
        <w:t>:317-327.</w:t>
      </w:r>
    </w:p>
    <w:p w:rsidR="00DF141A" w:rsidRDefault="00DF141A" w:rsidP="00DF141A">
      <w:pPr>
        <w:ind w:left="720" w:hanging="720"/>
        <w:jc w:val="both"/>
      </w:pPr>
      <w:r>
        <w:t xml:space="preserve">Raich, JW, AE Russell, K. Kitayama, WJ Parton, and PM Vitousek. 2006. Temperature influences carbon accumulation in moist tropical forests. </w:t>
      </w:r>
      <w:r w:rsidRPr="000074FC">
        <w:rPr>
          <w:i/>
        </w:rPr>
        <w:t>Ecology</w:t>
      </w:r>
      <w:r>
        <w:rPr>
          <w:b/>
          <w:bCs/>
        </w:rPr>
        <w:t>87</w:t>
      </w:r>
      <w:r>
        <w:t>:76-87.</w:t>
      </w:r>
    </w:p>
    <w:p w:rsidR="00DF141A" w:rsidRPr="0011721C" w:rsidRDefault="00DF141A" w:rsidP="00DF141A">
      <w:pPr>
        <w:ind w:left="720" w:hanging="720"/>
        <w:jc w:val="both"/>
      </w:pPr>
      <w:r w:rsidRPr="0011721C">
        <w:t>Rue</w:t>
      </w:r>
      <w:r>
        <w:t>sch A, and HK Gibbs.  2008.</w:t>
      </w:r>
      <w:r w:rsidRPr="0011721C">
        <w:t xml:space="preserve"> New IPCC tier-1 global biomass carbon map for the year 2000. Available:http://cdiac.ornl.gov/epubs/ndp/global_carbon/carbon_documentation.html. Accessed 2008 Jul 7.</w:t>
      </w:r>
    </w:p>
    <w:p w:rsidR="00DF141A" w:rsidRDefault="00DF141A" w:rsidP="00DF141A">
      <w:pPr>
        <w:ind w:left="720" w:hanging="720"/>
        <w:jc w:val="both"/>
      </w:pPr>
      <w:r w:rsidRPr="005E2BD6">
        <w:t>Schu</w:t>
      </w:r>
      <w:r>
        <w:t>man, GE, HH Janzen, and JE</w:t>
      </w:r>
      <w:r w:rsidRPr="005E2BD6">
        <w:t xml:space="preserve"> Herrick. 2002. Soil carbon dynamics and potential carbon sequestration by rangelands. </w:t>
      </w:r>
      <w:r w:rsidRPr="000074FC">
        <w:rPr>
          <w:i/>
        </w:rPr>
        <w:t>Environmental Pollution</w:t>
      </w:r>
      <w:r w:rsidRPr="005E2BD6">
        <w:t xml:space="preserve">, </w:t>
      </w:r>
      <w:r w:rsidRPr="005E2BD6">
        <w:rPr>
          <w:b/>
          <w:bCs/>
        </w:rPr>
        <w:t>116</w:t>
      </w:r>
      <w:r w:rsidRPr="005E2BD6">
        <w:t>:391-396.</w:t>
      </w:r>
    </w:p>
    <w:p w:rsidR="00DF141A" w:rsidRDefault="00DF141A" w:rsidP="00DF141A">
      <w:pPr>
        <w:ind w:left="720" w:hanging="720"/>
        <w:jc w:val="both"/>
      </w:pPr>
      <w:r>
        <w:t xml:space="preserve">Sedjo, RA and B. Sohngen. Carbon Credits for Avoided Deforestation. Washington, DC: Resources for the Future; 2007 October 2007. Report for RFF DP 07-47. </w:t>
      </w:r>
    </w:p>
    <w:p w:rsidR="00DF141A" w:rsidRDefault="00DF141A" w:rsidP="00DF141A">
      <w:pPr>
        <w:ind w:left="720" w:hanging="720"/>
        <w:jc w:val="both"/>
      </w:pPr>
      <w:r>
        <w:t xml:space="preserve">Silver, WL, R. Ostertag, and AE Lugo. 2000. The potential for carbon sequestration through reforestation of abandoned tropical agricultural and pasture lands. </w:t>
      </w:r>
      <w:r w:rsidRPr="000074FC">
        <w:rPr>
          <w:i/>
        </w:rPr>
        <w:t>Restoration Ecology</w:t>
      </w:r>
      <w:r>
        <w:rPr>
          <w:b/>
          <w:bCs/>
        </w:rPr>
        <w:t>8</w:t>
      </w:r>
      <w:r>
        <w:t>:394-407.</w:t>
      </w:r>
    </w:p>
    <w:p w:rsidR="00DF141A" w:rsidRDefault="00DF141A" w:rsidP="00DF141A">
      <w:pPr>
        <w:autoSpaceDE w:val="0"/>
        <w:ind w:left="720" w:hanging="720"/>
        <w:jc w:val="both"/>
      </w:pPr>
      <w:r>
        <w:t xml:space="preserve">Skog, KE, K. Pingoud, and JE Smith. 2004. Method Countries Can Use to Estimate Changes in Carbon Stored in Harvested Wood Products and the Uncertainty of Such Estimates. </w:t>
      </w:r>
      <w:r w:rsidRPr="000074FC">
        <w:rPr>
          <w:i/>
        </w:rPr>
        <w:t>Environmental Management</w:t>
      </w:r>
      <w:r>
        <w:t xml:space="preserve"> 33, Supplement 1: S65–S73.</w:t>
      </w:r>
    </w:p>
    <w:p w:rsidR="00DF141A" w:rsidRDefault="00DF141A" w:rsidP="00DF141A">
      <w:pPr>
        <w:autoSpaceDE w:val="0"/>
        <w:ind w:left="720" w:hanging="720"/>
        <w:jc w:val="both"/>
      </w:pPr>
      <w:r>
        <w:t>Smith, JE, LS Heath, KE Skog, RA Birdsey. Methods for Calculating Forest Ecosystem and Harvested Carbon with Standard Estimates for Forest Types of the United States. Newtown Square, PA: US Department of Agriculture, Forest Service, Northeastern Research Station; 2006. Report for NE-343.</w:t>
      </w:r>
    </w:p>
    <w:p w:rsidR="00DF141A" w:rsidRDefault="00DF141A" w:rsidP="00DF141A">
      <w:pPr>
        <w:autoSpaceDE w:val="0"/>
        <w:ind w:left="720" w:hanging="720"/>
        <w:jc w:val="both"/>
      </w:pPr>
      <w:r>
        <w:t xml:space="preserve">Socolow, RH. 2005. Can We Bury Global Warming? </w:t>
      </w:r>
      <w:r w:rsidRPr="000074FC">
        <w:rPr>
          <w:i/>
        </w:rPr>
        <w:t>Scientific American</w:t>
      </w:r>
      <w:r>
        <w:t xml:space="preserve"> 293: 49-55.</w:t>
      </w:r>
    </w:p>
    <w:p w:rsidR="00DF141A" w:rsidRDefault="00DF141A" w:rsidP="00DF141A">
      <w:pPr>
        <w:autoSpaceDE w:val="0"/>
        <w:ind w:left="720" w:hanging="720"/>
        <w:jc w:val="both"/>
      </w:pPr>
      <w:r>
        <w:t xml:space="preserve">Socolow, RH and SW Pacala. 2006. A Plan to Keep Carbon in Check. </w:t>
      </w:r>
      <w:r w:rsidRPr="000074FC">
        <w:rPr>
          <w:i/>
        </w:rPr>
        <w:t>Scientific American</w:t>
      </w:r>
      <w:r>
        <w:t xml:space="preserve"> 295: 50-57.</w:t>
      </w:r>
    </w:p>
    <w:p w:rsidR="00DF141A" w:rsidRDefault="00DF141A" w:rsidP="00DF141A">
      <w:pPr>
        <w:autoSpaceDE w:val="0"/>
        <w:ind w:left="720" w:hanging="720"/>
        <w:jc w:val="both"/>
      </w:pPr>
      <w:r w:rsidRPr="00914341">
        <w:t xml:space="preserve">Sohngen, Brent, </w:t>
      </w:r>
      <w:r>
        <w:t>RH Beach</w:t>
      </w:r>
      <w:r w:rsidRPr="00914341">
        <w:t xml:space="preserve">, </w:t>
      </w:r>
      <w:r>
        <w:t xml:space="preserve">and Kenneth </w:t>
      </w:r>
      <w:r w:rsidRPr="00914341">
        <w:t>A</w:t>
      </w:r>
      <w:r>
        <w:t xml:space="preserve">ndrasko. 2008. Avoided </w:t>
      </w:r>
      <w:r w:rsidRPr="00914341">
        <w:t>Deforestation as a Greenhouse Gas Mitigation</w:t>
      </w:r>
      <w:r>
        <w:t xml:space="preserve"> Tool: Economic Issues. </w:t>
      </w:r>
      <w:r w:rsidRPr="000074FC">
        <w:rPr>
          <w:i/>
        </w:rPr>
        <w:t>Journal of Environmental Quality</w:t>
      </w:r>
      <w:r w:rsidRPr="00914341">
        <w:t xml:space="preserve"> 37: 1368-1375.</w:t>
      </w:r>
    </w:p>
    <w:p w:rsidR="00DF141A" w:rsidRDefault="00DF141A" w:rsidP="00DF141A">
      <w:pPr>
        <w:autoSpaceDE w:val="0"/>
        <w:ind w:left="720" w:hanging="720"/>
        <w:jc w:val="both"/>
      </w:pPr>
      <w:r>
        <w:t xml:space="preserve">Stainforth, DA </w:t>
      </w:r>
      <w:r w:rsidRPr="00625D8C">
        <w:rPr>
          <w:i/>
        </w:rPr>
        <w:t>et al</w:t>
      </w:r>
      <w:r>
        <w:t xml:space="preserve">., 2005. Uncertainty in predictions of the climate response to rising levels of greenhouse gases. </w:t>
      </w:r>
      <w:r w:rsidRPr="000074FC">
        <w:rPr>
          <w:i/>
        </w:rPr>
        <w:t>Nature</w:t>
      </w:r>
      <w:r>
        <w:t xml:space="preserve"> 433, 403–406.</w:t>
      </w:r>
    </w:p>
    <w:p w:rsidR="00DF141A" w:rsidRDefault="00DF141A" w:rsidP="00DF141A">
      <w:pPr>
        <w:ind w:left="720" w:hanging="720"/>
        <w:jc w:val="both"/>
      </w:pPr>
      <w:r>
        <w:t>Stern, N. 2007. The Economics of Climate Change: The Stern Review. Cambridge and New York: Cambridge University Press.</w:t>
      </w:r>
    </w:p>
    <w:p w:rsidR="00DF141A" w:rsidRDefault="00DF141A" w:rsidP="00DF141A">
      <w:pPr>
        <w:ind w:left="720" w:hanging="720"/>
        <w:jc w:val="both"/>
      </w:pPr>
      <w:r>
        <w:t xml:space="preserve">Tiessen, H., C. Feller, EVSB Sampaio, and P. Garin. 1998. Carbon Sequestration and Turnover in Semiarid Savannas and Dry Forest. </w:t>
      </w:r>
      <w:r w:rsidRPr="000074FC">
        <w:rPr>
          <w:i/>
        </w:rPr>
        <w:t>Climatic Change</w:t>
      </w:r>
      <w:r>
        <w:rPr>
          <w:b/>
          <w:bCs/>
        </w:rPr>
        <w:t>40</w:t>
      </w:r>
      <w:r>
        <w:t>:105-117.</w:t>
      </w:r>
    </w:p>
    <w:p w:rsidR="00DF141A" w:rsidRDefault="00DF141A" w:rsidP="00DF141A">
      <w:pPr>
        <w:ind w:left="720" w:hanging="720"/>
        <w:jc w:val="both"/>
      </w:pPr>
      <w:r>
        <w:t xml:space="preserve">Tilman, D., J. Hill, and C. Lehman. 2006. Carbon-Negative Biofuels from Low-Input High-Diversity Grassland Biomass. </w:t>
      </w:r>
      <w:r w:rsidRPr="000074FC">
        <w:rPr>
          <w:i/>
        </w:rPr>
        <w:t>Science</w:t>
      </w:r>
      <w:r>
        <w:rPr>
          <w:b/>
          <w:bCs/>
        </w:rPr>
        <w:t>314</w:t>
      </w:r>
      <w:r>
        <w:t>:1598-1600.</w:t>
      </w:r>
    </w:p>
    <w:p w:rsidR="00DF141A" w:rsidRDefault="00DF141A" w:rsidP="00DF141A">
      <w:pPr>
        <w:ind w:left="720" w:hanging="720"/>
        <w:jc w:val="both"/>
      </w:pPr>
      <w:r>
        <w:t xml:space="preserve">Tol, RSJ. 2005. The marginal damage costs of carbon dioxide emissions: an assessment of the uncertainties. </w:t>
      </w:r>
      <w:r w:rsidRPr="000074FC">
        <w:rPr>
          <w:i/>
        </w:rPr>
        <w:t>Energy Policy</w:t>
      </w:r>
      <w:r>
        <w:rPr>
          <w:b/>
          <w:bCs/>
        </w:rPr>
        <w:t>33</w:t>
      </w:r>
      <w:r>
        <w:t>:2064-2074.</w:t>
      </w:r>
    </w:p>
    <w:p w:rsidR="00DF141A" w:rsidRDefault="00DF141A" w:rsidP="00DF141A">
      <w:pPr>
        <w:ind w:left="720" w:hanging="720"/>
        <w:jc w:val="both"/>
      </w:pPr>
      <w:r>
        <w:t xml:space="preserve">Tol, RSJ. 2009. </w:t>
      </w:r>
      <w:r w:rsidRPr="0011721C">
        <w:t>The Econ</w:t>
      </w:r>
      <w:r>
        <w:t>omic Effects of Climate Change.</w:t>
      </w:r>
      <w:r w:rsidRPr="0011721C">
        <w:rPr>
          <w:i/>
          <w:iCs/>
        </w:rPr>
        <w:t>Journal of Economic Perspectives</w:t>
      </w:r>
      <w:r w:rsidRPr="0011721C">
        <w:rPr>
          <w:b/>
        </w:rPr>
        <w:t>23</w:t>
      </w:r>
      <w:r w:rsidRPr="0011721C">
        <w:t>: 29–51.</w:t>
      </w:r>
    </w:p>
    <w:p w:rsidR="00DF141A" w:rsidRDefault="00DF141A" w:rsidP="00DF141A">
      <w:pPr>
        <w:ind w:left="720" w:hanging="720"/>
        <w:jc w:val="both"/>
      </w:pPr>
      <w:r>
        <w:t>USOMB (US Office of Management and Budget). 1992. Guidelines and Discount Rates for Benefit-Cost Analysis of Federal Programs Circular No. A-94 (Revised). Transmittal Memo No. 64. Washington DC: US Office of Management and Budget.</w:t>
      </w:r>
    </w:p>
    <w:p w:rsidR="00DF141A" w:rsidRDefault="00DF141A" w:rsidP="00DF141A">
      <w:pPr>
        <w:ind w:left="720" w:hanging="720"/>
        <w:jc w:val="both"/>
      </w:pPr>
      <w:r>
        <w:t xml:space="preserve">Vagen, TG, R Lal, and BR Singh. 2005. Soil carbon sequestration in sub-Saharan Africa: A review. </w:t>
      </w:r>
      <w:r w:rsidRPr="000074FC">
        <w:rPr>
          <w:i/>
        </w:rPr>
        <w:t>Land Degradation &amp; Development</w:t>
      </w:r>
      <w:r>
        <w:rPr>
          <w:b/>
          <w:bCs/>
        </w:rPr>
        <w:t>16</w:t>
      </w:r>
      <w:r>
        <w:t>:53-71.</w:t>
      </w:r>
    </w:p>
    <w:p w:rsidR="00DF141A" w:rsidRDefault="00DF141A" w:rsidP="00DF141A">
      <w:pPr>
        <w:ind w:left="720" w:hanging="720"/>
        <w:jc w:val="both"/>
      </w:pPr>
      <w:r>
        <w:t xml:space="preserve">Weitzman, ML. 2007. A review of the Stern Review on the Economics of Climate Change. </w:t>
      </w:r>
      <w:r w:rsidRPr="000074FC">
        <w:rPr>
          <w:i/>
        </w:rPr>
        <w:t>Journal of Economic Literature</w:t>
      </w:r>
      <w:r>
        <w:rPr>
          <w:b/>
          <w:bCs/>
        </w:rPr>
        <w:t>45</w:t>
      </w:r>
      <w:r>
        <w:t>:703-724.</w:t>
      </w:r>
    </w:p>
    <w:p w:rsidR="00DF141A" w:rsidRDefault="00DF141A" w:rsidP="00DF141A">
      <w:pPr>
        <w:ind w:left="720" w:hanging="720"/>
      </w:pPr>
      <w:r>
        <w:lastRenderedPageBreak/>
        <w:t xml:space="preserve">Zhang, Q, and CO Justice. 2001. Carbon Emissions and Sequestration Potential of Central African Ecosystems. </w:t>
      </w:r>
      <w:r w:rsidRPr="000074FC">
        <w:rPr>
          <w:i/>
        </w:rPr>
        <w:t>AMBIO</w:t>
      </w:r>
      <w:r>
        <w:rPr>
          <w:b/>
          <w:bCs/>
        </w:rPr>
        <w:t>30</w:t>
      </w:r>
      <w:r>
        <w:t>:351-355.</w:t>
      </w:r>
    </w:p>
    <w:p w:rsidR="00DD2D21" w:rsidRDefault="00DD2D21"/>
    <w:sectPr w:rsidR="00DD2D21" w:rsidSect="00DD2D2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Perpetua Titling MT">
    <w:altName w:val="Gentium Book Basic"/>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1">
    <w:nsid w:val="00000005"/>
    <w:multiLevelType w:val="singleLevel"/>
    <w:tmpl w:val="00000005"/>
    <w:name w:val="WW8Num5"/>
    <w:lvl w:ilvl="0">
      <w:start w:val="1"/>
      <w:numFmt w:val="decimal"/>
      <w:lvlText w:val="%1."/>
      <w:lvlJc w:val="left"/>
      <w:pPr>
        <w:tabs>
          <w:tab w:val="num" w:pos="720"/>
        </w:tabs>
        <w:ind w:left="720" w:hanging="360"/>
      </w:pPr>
      <w:rPr>
        <w:b/>
      </w:rPr>
    </w:lvl>
  </w:abstractNum>
  <w:abstractNum w:abstractNumId="2">
    <w:nsid w:val="00000006"/>
    <w:multiLevelType w:val="singleLevel"/>
    <w:tmpl w:val="00000006"/>
    <w:name w:val="WW8Num6"/>
    <w:lvl w:ilvl="0">
      <w:start w:val="1"/>
      <w:numFmt w:val="lowerLetter"/>
      <w:lvlText w:val="%1."/>
      <w:lvlJc w:val="left"/>
      <w:pPr>
        <w:tabs>
          <w:tab w:val="num" w:pos="360"/>
        </w:tabs>
        <w:ind w:left="360" w:hanging="360"/>
      </w:pPr>
    </w:lvl>
  </w:abstractNum>
  <w:abstractNum w:abstractNumId="3">
    <w:nsid w:val="00000007"/>
    <w:multiLevelType w:val="singleLevel"/>
    <w:tmpl w:val="04090001"/>
    <w:lvl w:ilvl="0">
      <w:start w:val="1"/>
      <w:numFmt w:val="bullet"/>
      <w:lvlText w:val=""/>
      <w:lvlJc w:val="left"/>
      <w:pPr>
        <w:ind w:left="1530" w:hanging="360"/>
      </w:pPr>
      <w:rPr>
        <w:rFonts w:ascii="Symbol" w:hAnsi="Symbol" w:hint="default"/>
        <w:b/>
      </w:rPr>
    </w:lvl>
  </w:abstractNum>
  <w:abstractNum w:abstractNumId="4">
    <w:nsid w:val="00000008"/>
    <w:multiLevelType w:val="singleLevel"/>
    <w:tmpl w:val="9F9A77BE"/>
    <w:name w:val="WW8Num8"/>
    <w:lvl w:ilvl="0">
      <w:start w:val="1"/>
      <w:numFmt w:val="lowerLetter"/>
      <w:lvlText w:val="%1."/>
      <w:lvlJc w:val="left"/>
      <w:pPr>
        <w:tabs>
          <w:tab w:val="num" w:pos="1800"/>
        </w:tabs>
        <w:ind w:left="1800" w:hanging="360"/>
      </w:pPr>
      <w:rPr>
        <w:b/>
      </w:rPr>
    </w:lvl>
  </w:abstractNum>
  <w:abstractNum w:abstractNumId="5">
    <w:nsid w:val="0000000B"/>
    <w:multiLevelType w:val="singleLevel"/>
    <w:tmpl w:val="C9CE7C5C"/>
    <w:name w:val="WW8Num11"/>
    <w:lvl w:ilvl="0">
      <w:start w:val="1"/>
      <w:numFmt w:val="decimal"/>
      <w:lvlText w:val="%1."/>
      <w:lvlJc w:val="left"/>
      <w:pPr>
        <w:tabs>
          <w:tab w:val="num" w:pos="720"/>
        </w:tabs>
        <w:ind w:left="720" w:hanging="360"/>
      </w:pPr>
      <w:rPr>
        <w:b/>
      </w:rPr>
    </w:lvl>
  </w:abstractNum>
  <w:abstractNum w:abstractNumId="6">
    <w:nsid w:val="0000000D"/>
    <w:multiLevelType w:val="singleLevel"/>
    <w:tmpl w:val="0000000D"/>
    <w:name w:val="WW8Num13"/>
    <w:lvl w:ilvl="0">
      <w:start w:val="1"/>
      <w:numFmt w:val="bullet"/>
      <w:lvlText w:val=""/>
      <w:lvlJc w:val="left"/>
      <w:pPr>
        <w:tabs>
          <w:tab w:val="num" w:pos="720"/>
        </w:tabs>
        <w:ind w:left="720" w:hanging="360"/>
      </w:pPr>
      <w:rPr>
        <w:rFonts w:ascii="Symbol" w:hAnsi="Symbol"/>
      </w:rPr>
    </w:lvl>
  </w:abstractNum>
  <w:abstractNum w:abstractNumId="7">
    <w:nsid w:val="0000000E"/>
    <w:multiLevelType w:val="singleLevel"/>
    <w:tmpl w:val="45286416"/>
    <w:name w:val="WW8Num14"/>
    <w:lvl w:ilvl="0">
      <w:start w:val="1"/>
      <w:numFmt w:val="lowerLetter"/>
      <w:lvlText w:val="%1."/>
      <w:lvlJc w:val="left"/>
      <w:pPr>
        <w:tabs>
          <w:tab w:val="num" w:pos="1440"/>
        </w:tabs>
        <w:ind w:left="1440" w:hanging="360"/>
      </w:pPr>
      <w:rPr>
        <w:b/>
      </w:rPr>
    </w:lvl>
  </w:abstractNum>
  <w:abstractNum w:abstractNumId="8">
    <w:nsid w:val="0000000F"/>
    <w:multiLevelType w:val="singleLevel"/>
    <w:tmpl w:val="C5D2957C"/>
    <w:name w:val="WW8Num15"/>
    <w:lvl w:ilvl="0">
      <w:start w:val="1"/>
      <w:numFmt w:val="lowerLetter"/>
      <w:lvlText w:val="%1."/>
      <w:lvlJc w:val="left"/>
      <w:pPr>
        <w:tabs>
          <w:tab w:val="num" w:pos="1440"/>
        </w:tabs>
        <w:ind w:left="1440" w:hanging="360"/>
      </w:pPr>
      <w:rPr>
        <w:b/>
      </w:rPr>
    </w:lvl>
  </w:abstractNum>
  <w:abstractNum w:abstractNumId="9">
    <w:nsid w:val="00000012"/>
    <w:multiLevelType w:val="multilevel"/>
    <w:tmpl w:val="DBEA3994"/>
    <w:name w:val="WW8Num822"/>
    <w:lvl w:ilvl="0">
      <w:start w:val="1"/>
      <w:numFmt w:val="decimal"/>
      <w:lvlText w:val="%1."/>
      <w:lvlJc w:val="left"/>
      <w:pPr>
        <w:tabs>
          <w:tab w:val="num" w:pos="540"/>
        </w:tabs>
        <w:ind w:left="540" w:hanging="360"/>
      </w:pPr>
      <w:rPr>
        <w:b/>
      </w:rPr>
    </w:lvl>
    <w:lvl w:ilvl="1">
      <w:start w:val="1"/>
      <w:numFmt w:val="lowerLetter"/>
      <w:lvlText w:val="%2."/>
      <w:lvlJc w:val="left"/>
      <w:pPr>
        <w:tabs>
          <w:tab w:val="num" w:pos="1260"/>
        </w:tabs>
        <w:ind w:left="1260" w:hanging="360"/>
      </w:pPr>
      <w:rPr>
        <w:b/>
      </w:r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0">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11">
    <w:nsid w:val="00000015"/>
    <w:multiLevelType w:val="multilevel"/>
    <w:tmpl w:val="E7E01A9C"/>
    <w:name w:val="WW8Num21"/>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rPr>
        <w:b/>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16"/>
    <w:multiLevelType w:val="singleLevel"/>
    <w:tmpl w:val="00000016"/>
    <w:name w:val="WW8Num22"/>
    <w:lvl w:ilvl="0">
      <w:start w:val="1"/>
      <w:numFmt w:val="bullet"/>
      <w:lvlText w:val=""/>
      <w:lvlJc w:val="left"/>
      <w:pPr>
        <w:tabs>
          <w:tab w:val="num" w:pos="720"/>
        </w:tabs>
        <w:ind w:left="720" w:hanging="360"/>
      </w:pPr>
      <w:rPr>
        <w:rFonts w:ascii="Symbol" w:hAnsi="Symbol"/>
      </w:rPr>
    </w:lvl>
  </w:abstractNum>
  <w:abstractNum w:abstractNumId="13">
    <w:nsid w:val="00000018"/>
    <w:multiLevelType w:val="multilevel"/>
    <w:tmpl w:val="BA4EDC40"/>
    <w:name w:val="WW8Num24"/>
    <w:lvl w:ilvl="0">
      <w:start w:val="1"/>
      <w:numFmt w:val="lowerLetter"/>
      <w:lvlText w:val="%1."/>
      <w:lvlJc w:val="left"/>
      <w:pPr>
        <w:tabs>
          <w:tab w:val="num" w:pos="1440"/>
        </w:tabs>
        <w:ind w:left="144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19"/>
    <w:multiLevelType w:val="multilevel"/>
    <w:tmpl w:val="00000019"/>
    <w:name w:val="WW8Num25"/>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nsid w:val="0000001A"/>
    <w:multiLevelType w:val="singleLevel"/>
    <w:tmpl w:val="0000001A"/>
    <w:name w:val="WW8Num26"/>
    <w:lvl w:ilvl="0">
      <w:start w:val="1"/>
      <w:numFmt w:val="bullet"/>
      <w:lvlText w:val=""/>
      <w:lvlJc w:val="left"/>
      <w:pPr>
        <w:tabs>
          <w:tab w:val="num" w:pos="1440"/>
        </w:tabs>
        <w:ind w:left="1440" w:hanging="360"/>
      </w:pPr>
      <w:rPr>
        <w:rFonts w:ascii="Symbol" w:hAnsi="Symbol"/>
      </w:rPr>
    </w:lvl>
  </w:abstractNum>
  <w:abstractNum w:abstractNumId="16">
    <w:nsid w:val="166551D1"/>
    <w:multiLevelType w:val="hybridMultilevel"/>
    <w:tmpl w:val="E6562462"/>
    <w:name w:val="WW8Num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424B4C"/>
    <w:multiLevelType w:val="hybridMultilevel"/>
    <w:tmpl w:val="FDD4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Malgun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algun Gothic"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algun Gothic"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9272EA"/>
    <w:multiLevelType w:val="hybridMultilevel"/>
    <w:tmpl w:val="7648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A84943"/>
    <w:multiLevelType w:val="hybridMultilevel"/>
    <w:tmpl w:val="ABCE6CBC"/>
    <w:name w:val="WW8Num8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817041"/>
    <w:multiLevelType w:val="hybridMultilevel"/>
    <w:tmpl w:val="876806B0"/>
    <w:name w:val="WW8Num8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35DE3"/>
    <w:multiLevelType w:val="hybridMultilevel"/>
    <w:tmpl w:val="5022A996"/>
    <w:lvl w:ilvl="0" w:tplc="D032ACBC">
      <w:start w:val="1"/>
      <w:numFmt w:val="lowerLetter"/>
      <w:lvlText w:val="%1."/>
      <w:lvlJc w:val="left"/>
      <w:pPr>
        <w:tabs>
          <w:tab w:val="num" w:pos="1620"/>
        </w:tabs>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nsid w:val="60282823"/>
    <w:multiLevelType w:val="hybridMultilevel"/>
    <w:tmpl w:val="FB8C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190607"/>
    <w:multiLevelType w:val="hybridMultilevel"/>
    <w:tmpl w:val="CB5E66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Malgun Goth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Malgun Gothic"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algun Gothic"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C246D34"/>
    <w:multiLevelType w:val="hybridMultilevel"/>
    <w:tmpl w:val="54AA5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3"/>
  </w:num>
  <w:num w:numId="4">
    <w:abstractNumId w:val="0"/>
  </w:num>
  <w:num w:numId="5">
    <w:abstractNumId w:val="6"/>
  </w:num>
  <w:num w:numId="6">
    <w:abstractNumId w:val="8"/>
  </w:num>
  <w:num w:numId="7">
    <w:abstractNumId w:val="10"/>
  </w:num>
  <w:num w:numId="8">
    <w:abstractNumId w:val="11"/>
  </w:num>
  <w:num w:numId="9">
    <w:abstractNumId w:val="12"/>
  </w:num>
  <w:num w:numId="10">
    <w:abstractNumId w:val="14"/>
  </w:num>
  <w:num w:numId="11">
    <w:abstractNumId w:val="17"/>
  </w:num>
  <w:num w:numId="12">
    <w:abstractNumId w:val="23"/>
  </w:num>
  <w:num w:numId="13">
    <w:abstractNumId w:val="18"/>
  </w:num>
  <w:num w:numId="14">
    <w:abstractNumId w:val="24"/>
  </w:num>
  <w:num w:numId="15">
    <w:abstractNumId w:val="22"/>
  </w:num>
  <w:num w:numId="16">
    <w:abstractNumId w:val="21"/>
  </w:num>
  <w:num w:numId="17">
    <w:abstractNumId w:val="19"/>
  </w:num>
  <w:num w:numId="18">
    <w:abstractNumId w:val="2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DF141A"/>
    <w:rsid w:val="00DD2D21"/>
    <w:rsid w:val="00DF14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2" w:uiPriority="0"/>
    <w:lsdException w:name="List 3"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70" w:unhideWhenUsed="0"/>
    <w:lsdException w:name="Medium List 1 Accent 4" w:semiHidden="0" w:uiPriority="65" w:unhideWhenUsed="0"/>
    <w:lsdException w:name="Medium List 2 Accent 4" w:semiHidden="0" w:uiPriority="66" w:unhideWhenUsed="0"/>
    <w:lsdException w:name="Medium Grid 1 Accent 4" w:semiHidden="0" w:uiPriority="73"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0" w:unhideWhenUsed="0"/>
    <w:lsdException w:name="Light Shading Accent 5" w:semiHidden="0" w:uiPriority="60" w:unhideWhenUsed="0"/>
    <w:lsdException w:name="Light List Accent 5" w:semiHidden="0" w:uiPriority="61" w:unhideWhenUsed="0"/>
    <w:lsdException w:name="Light Grid Accent 5" w:semiHidden="0" w:uiPriority="73"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70" w:unhideWhenUsed="0"/>
    <w:lsdException w:name="Medium Grid 3 Accent 5" w:semiHidden="0" w:uiPriority="69" w:unhideWhenUsed="0"/>
    <w:lsdException w:name="Dark List Accent 5" w:semiHidden="0" w:uiPriority="70" w:unhideWhenUsed="0"/>
    <w:lsdException w:name="Colorful Shading Accent 5" w:semiHidden="0" w:uiPriority="73"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9"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0"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69"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41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F141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F141A"/>
    <w:pPr>
      <w:keepNext/>
      <w:spacing w:before="240" w:after="60"/>
      <w:outlineLvl w:val="1"/>
    </w:pPr>
    <w:rPr>
      <w:rFonts w:ascii="Arial" w:hAnsi="Arial" w:cs="Arial"/>
      <w:b/>
      <w:bCs/>
      <w:i/>
      <w:iCs/>
      <w:sz w:val="28"/>
      <w:szCs w:val="28"/>
    </w:rPr>
  </w:style>
  <w:style w:type="paragraph" w:styleId="Heading3">
    <w:name w:val="heading 3"/>
    <w:aliases w:val=" Char,Char"/>
    <w:basedOn w:val="Normal"/>
    <w:next w:val="Normal"/>
    <w:link w:val="Heading3Char1"/>
    <w:qFormat/>
    <w:rsid w:val="00DF141A"/>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DF141A"/>
    <w:pPr>
      <w:keepNext/>
      <w:tabs>
        <w:tab w:val="num" w:pos="2880"/>
      </w:tabs>
      <w:suppressAutoHyphens/>
      <w:spacing w:before="240" w:after="60" w:line="276" w:lineRule="auto"/>
      <w:ind w:left="2880" w:hanging="360"/>
      <w:outlineLvl w:val="3"/>
    </w:pPr>
    <w:rPr>
      <w:rFonts w:eastAsia="Calibri"/>
      <w:b/>
      <w:bCs/>
      <w:sz w:val="28"/>
      <w:szCs w:val="28"/>
      <w:lang w:eastAsia="ar-SA"/>
    </w:rPr>
  </w:style>
  <w:style w:type="paragraph" w:styleId="Heading5">
    <w:name w:val="heading 5"/>
    <w:basedOn w:val="Normal"/>
    <w:next w:val="Normal"/>
    <w:link w:val="Heading5Char"/>
    <w:uiPriority w:val="9"/>
    <w:qFormat/>
    <w:rsid w:val="00DF141A"/>
    <w:pPr>
      <w:keepNext/>
      <w:keepLine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
    <w:qFormat/>
    <w:rsid w:val="00DF141A"/>
    <w:pPr>
      <w:keepNext/>
      <w:keepLine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
    <w:qFormat/>
    <w:rsid w:val="00DF141A"/>
    <w:pPr>
      <w:keepNext/>
      <w:keepLines/>
      <w:spacing w:before="200"/>
      <w:outlineLvl w:val="6"/>
    </w:pPr>
    <w:rPr>
      <w:rFonts w:ascii="Cambria" w:hAnsi="Cambria"/>
      <w:i/>
      <w:iCs/>
      <w:color w:val="404040"/>
    </w:rPr>
  </w:style>
  <w:style w:type="paragraph" w:styleId="Heading8">
    <w:name w:val="heading 8"/>
    <w:basedOn w:val="Heading2"/>
    <w:next w:val="Normal"/>
    <w:link w:val="Heading8Char"/>
    <w:uiPriority w:val="9"/>
    <w:qFormat/>
    <w:rsid w:val="00DF141A"/>
    <w:pPr>
      <w:keepLines/>
      <w:spacing w:before="200" w:line="360" w:lineRule="auto"/>
      <w:ind w:left="1440" w:hanging="1440"/>
      <w:outlineLvl w:val="7"/>
    </w:pPr>
    <w:rPr>
      <w:rFonts w:cs="Times New Roman"/>
      <w:color w:val="404040"/>
      <w:szCs w:val="20"/>
    </w:rPr>
  </w:style>
  <w:style w:type="paragraph" w:styleId="Heading9">
    <w:name w:val="heading 9"/>
    <w:basedOn w:val="Normal"/>
    <w:next w:val="Normal"/>
    <w:link w:val="Heading9Char"/>
    <w:uiPriority w:val="9"/>
    <w:qFormat/>
    <w:rsid w:val="00DF141A"/>
    <w:pPr>
      <w:keepNext/>
      <w:keepLine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141A"/>
    <w:rPr>
      <w:rFonts w:ascii="Arial" w:eastAsia="Times New Roman" w:hAnsi="Arial" w:cs="Arial"/>
      <w:b/>
      <w:bCs/>
      <w:kern w:val="32"/>
      <w:sz w:val="32"/>
      <w:szCs w:val="32"/>
    </w:rPr>
  </w:style>
  <w:style w:type="character" w:customStyle="1" w:styleId="Heading2Char">
    <w:name w:val="Heading 2 Char"/>
    <w:basedOn w:val="DefaultParagraphFont"/>
    <w:link w:val="Heading2"/>
    <w:rsid w:val="00DF141A"/>
    <w:rPr>
      <w:rFonts w:ascii="Arial" w:eastAsia="Times New Roman" w:hAnsi="Arial" w:cs="Arial"/>
      <w:b/>
      <w:bCs/>
      <w:i/>
      <w:iCs/>
      <w:sz w:val="28"/>
      <w:szCs w:val="28"/>
    </w:rPr>
  </w:style>
  <w:style w:type="character" w:customStyle="1" w:styleId="Heading3Char">
    <w:name w:val="Heading 3 Char"/>
    <w:basedOn w:val="DefaultParagraphFont"/>
    <w:link w:val="Heading3"/>
    <w:rsid w:val="00DF141A"/>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DF141A"/>
    <w:rPr>
      <w:rFonts w:ascii="Times New Roman" w:eastAsia="Calibri" w:hAnsi="Times New Roman" w:cs="Times New Roman"/>
      <w:b/>
      <w:bCs/>
      <w:sz w:val="28"/>
      <w:szCs w:val="28"/>
      <w:lang w:eastAsia="ar-SA"/>
    </w:rPr>
  </w:style>
  <w:style w:type="character" w:customStyle="1" w:styleId="Heading5Char">
    <w:name w:val="Heading 5 Char"/>
    <w:basedOn w:val="DefaultParagraphFont"/>
    <w:link w:val="Heading5"/>
    <w:uiPriority w:val="9"/>
    <w:rsid w:val="00DF141A"/>
    <w:rPr>
      <w:rFonts w:ascii="Cambria" w:eastAsia="Times New Roman" w:hAnsi="Cambria" w:cs="Times New Roman"/>
      <w:color w:val="243F60"/>
      <w:sz w:val="24"/>
      <w:szCs w:val="24"/>
    </w:rPr>
  </w:style>
  <w:style w:type="character" w:customStyle="1" w:styleId="Heading6Char">
    <w:name w:val="Heading 6 Char"/>
    <w:basedOn w:val="DefaultParagraphFont"/>
    <w:link w:val="Heading6"/>
    <w:uiPriority w:val="9"/>
    <w:rsid w:val="00DF141A"/>
    <w:rPr>
      <w:rFonts w:ascii="Cambria" w:eastAsia="Times New Roman" w:hAnsi="Cambria" w:cs="Times New Roman"/>
      <w:i/>
      <w:iCs/>
      <w:color w:val="243F60"/>
      <w:sz w:val="24"/>
      <w:szCs w:val="24"/>
    </w:rPr>
  </w:style>
  <w:style w:type="character" w:customStyle="1" w:styleId="Heading7Char">
    <w:name w:val="Heading 7 Char"/>
    <w:basedOn w:val="DefaultParagraphFont"/>
    <w:link w:val="Heading7"/>
    <w:uiPriority w:val="9"/>
    <w:rsid w:val="00DF141A"/>
    <w:rPr>
      <w:rFonts w:ascii="Cambria" w:eastAsia="Times New Roman" w:hAnsi="Cambria" w:cs="Times New Roman"/>
      <w:i/>
      <w:iCs/>
      <w:color w:val="404040"/>
      <w:sz w:val="24"/>
      <w:szCs w:val="24"/>
    </w:rPr>
  </w:style>
  <w:style w:type="character" w:customStyle="1" w:styleId="Heading8Char">
    <w:name w:val="Heading 8 Char"/>
    <w:basedOn w:val="DefaultParagraphFont"/>
    <w:link w:val="Heading8"/>
    <w:uiPriority w:val="9"/>
    <w:rsid w:val="00DF141A"/>
    <w:rPr>
      <w:rFonts w:ascii="Arial" w:eastAsia="Times New Roman" w:hAnsi="Arial" w:cs="Times New Roman"/>
      <w:b/>
      <w:bCs/>
      <w:i/>
      <w:iCs/>
      <w:color w:val="404040"/>
      <w:sz w:val="28"/>
      <w:szCs w:val="20"/>
    </w:rPr>
  </w:style>
  <w:style w:type="character" w:customStyle="1" w:styleId="Heading9Char">
    <w:name w:val="Heading 9 Char"/>
    <w:basedOn w:val="DefaultParagraphFont"/>
    <w:link w:val="Heading9"/>
    <w:uiPriority w:val="9"/>
    <w:rsid w:val="00DF141A"/>
    <w:rPr>
      <w:rFonts w:ascii="Cambria" w:eastAsia="Times New Roman" w:hAnsi="Cambria" w:cs="Times New Roman"/>
      <w:i/>
      <w:iCs/>
      <w:color w:val="404040"/>
      <w:sz w:val="20"/>
      <w:szCs w:val="20"/>
    </w:rPr>
  </w:style>
  <w:style w:type="character" w:customStyle="1" w:styleId="Heading3Char1">
    <w:name w:val="Heading 3 Char1"/>
    <w:aliases w:val=" Char Char,Char Char1"/>
    <w:basedOn w:val="DefaultParagraphFont"/>
    <w:link w:val="Heading3"/>
    <w:rsid w:val="00DF141A"/>
    <w:rPr>
      <w:rFonts w:ascii="Arial" w:eastAsia="Times New Roman" w:hAnsi="Arial" w:cs="Arial"/>
      <w:b/>
      <w:bCs/>
      <w:sz w:val="26"/>
      <w:szCs w:val="26"/>
    </w:rPr>
  </w:style>
  <w:style w:type="character" w:styleId="Hyperlink">
    <w:name w:val="Hyperlink"/>
    <w:basedOn w:val="DefaultParagraphFont"/>
    <w:uiPriority w:val="99"/>
    <w:rsid w:val="00DF141A"/>
    <w:rPr>
      <w:color w:val="0000FF"/>
      <w:u w:val="single"/>
    </w:rPr>
  </w:style>
  <w:style w:type="paragraph" w:customStyle="1" w:styleId="ColorfulShading-Accent31">
    <w:name w:val="Colorful Shading - Accent 31"/>
    <w:basedOn w:val="Normal"/>
    <w:qFormat/>
    <w:rsid w:val="00DF141A"/>
    <w:pPr>
      <w:ind w:left="720"/>
      <w:contextualSpacing/>
    </w:pPr>
    <w:rPr>
      <w:rFonts w:ascii="Calibri" w:eastAsia="Calibri" w:hAnsi="Calibri"/>
      <w:sz w:val="22"/>
      <w:szCs w:val="22"/>
    </w:rPr>
  </w:style>
  <w:style w:type="character" w:styleId="CommentReference">
    <w:name w:val="annotation reference"/>
    <w:basedOn w:val="DefaultParagraphFont"/>
    <w:rsid w:val="00DF141A"/>
    <w:rPr>
      <w:sz w:val="16"/>
      <w:szCs w:val="16"/>
    </w:rPr>
  </w:style>
  <w:style w:type="paragraph" w:styleId="CommentText">
    <w:name w:val="annotation text"/>
    <w:basedOn w:val="Normal"/>
    <w:link w:val="CommentTextChar1"/>
    <w:rsid w:val="00DF141A"/>
    <w:pPr>
      <w:suppressAutoHyphens/>
      <w:spacing w:after="200" w:line="276" w:lineRule="auto"/>
    </w:pPr>
    <w:rPr>
      <w:rFonts w:ascii="Calibri" w:eastAsia="Calibri" w:hAnsi="Calibri" w:cs="Calibri"/>
      <w:sz w:val="20"/>
      <w:szCs w:val="20"/>
      <w:lang w:eastAsia="ar-SA"/>
    </w:rPr>
  </w:style>
  <w:style w:type="character" w:customStyle="1" w:styleId="CommentTextChar">
    <w:name w:val="Comment Text Char"/>
    <w:basedOn w:val="DefaultParagraphFont"/>
    <w:link w:val="CommentText"/>
    <w:rsid w:val="00DF141A"/>
    <w:rPr>
      <w:rFonts w:ascii="Times New Roman" w:eastAsia="Times New Roman" w:hAnsi="Times New Roman" w:cs="Times New Roman"/>
      <w:sz w:val="20"/>
      <w:szCs w:val="20"/>
    </w:rPr>
  </w:style>
  <w:style w:type="character" w:customStyle="1" w:styleId="CommentTextChar1">
    <w:name w:val="Comment Text Char1"/>
    <w:basedOn w:val="DefaultParagraphFont"/>
    <w:link w:val="CommentText"/>
    <w:rsid w:val="00DF141A"/>
    <w:rPr>
      <w:rFonts w:ascii="Calibri" w:eastAsia="Calibri" w:hAnsi="Calibri" w:cs="Calibri"/>
      <w:sz w:val="20"/>
      <w:szCs w:val="20"/>
      <w:lang w:eastAsia="ar-SA"/>
    </w:rPr>
  </w:style>
  <w:style w:type="paragraph" w:styleId="BalloonText">
    <w:name w:val="Balloon Text"/>
    <w:basedOn w:val="Normal"/>
    <w:link w:val="BalloonTextChar"/>
    <w:uiPriority w:val="99"/>
    <w:semiHidden/>
    <w:rsid w:val="00DF141A"/>
    <w:rPr>
      <w:rFonts w:ascii="Tahoma" w:hAnsi="Tahoma" w:cs="Tahoma"/>
      <w:sz w:val="16"/>
      <w:szCs w:val="16"/>
    </w:rPr>
  </w:style>
  <w:style w:type="character" w:customStyle="1" w:styleId="BalloonTextChar">
    <w:name w:val="Balloon Text Char"/>
    <w:basedOn w:val="DefaultParagraphFont"/>
    <w:link w:val="BalloonText"/>
    <w:uiPriority w:val="99"/>
    <w:semiHidden/>
    <w:rsid w:val="00DF141A"/>
    <w:rPr>
      <w:rFonts w:ascii="Tahoma" w:eastAsia="Times New Roman" w:hAnsi="Tahoma" w:cs="Tahoma"/>
      <w:sz w:val="16"/>
      <w:szCs w:val="16"/>
    </w:rPr>
  </w:style>
  <w:style w:type="paragraph" w:styleId="NormalWeb">
    <w:name w:val="Normal (Web)"/>
    <w:basedOn w:val="Normal"/>
    <w:uiPriority w:val="99"/>
    <w:rsid w:val="00DF141A"/>
    <w:pPr>
      <w:spacing w:before="100" w:beforeAutospacing="1" w:after="100" w:afterAutospacing="1"/>
    </w:pPr>
  </w:style>
  <w:style w:type="character" w:styleId="FollowedHyperlink">
    <w:name w:val="FollowedHyperlink"/>
    <w:basedOn w:val="DefaultParagraphFont"/>
    <w:rsid w:val="00DF141A"/>
    <w:rPr>
      <w:color w:val="800080"/>
      <w:u w:val="single"/>
    </w:rPr>
  </w:style>
  <w:style w:type="paragraph" w:styleId="Caption">
    <w:name w:val="caption"/>
    <w:basedOn w:val="Normal"/>
    <w:next w:val="Normal"/>
    <w:qFormat/>
    <w:rsid w:val="00DF141A"/>
    <w:pPr>
      <w:suppressAutoHyphens/>
      <w:spacing w:after="200"/>
    </w:pPr>
    <w:rPr>
      <w:rFonts w:ascii="Calibri" w:eastAsia="Calibri" w:hAnsi="Calibri" w:cs="Calibri"/>
      <w:b/>
      <w:bCs/>
      <w:color w:val="4F81BD"/>
      <w:sz w:val="18"/>
      <w:szCs w:val="18"/>
      <w:lang w:eastAsia="ar-SA"/>
    </w:rPr>
  </w:style>
  <w:style w:type="character" w:styleId="Emphasis">
    <w:name w:val="Emphasis"/>
    <w:basedOn w:val="DefaultParagraphFont"/>
    <w:qFormat/>
    <w:rsid w:val="00DF141A"/>
    <w:rPr>
      <w:i/>
      <w:iCs/>
    </w:rPr>
  </w:style>
  <w:style w:type="paragraph" w:styleId="CommentSubject">
    <w:name w:val="annotation subject"/>
    <w:basedOn w:val="CommentText"/>
    <w:next w:val="CommentText"/>
    <w:link w:val="CommentSubjectChar1"/>
    <w:rsid w:val="00DF141A"/>
    <w:pPr>
      <w:suppressAutoHyphens w:val="0"/>
      <w:spacing w:after="0" w:line="240" w:lineRule="auto"/>
    </w:pPr>
    <w:rPr>
      <w:rFonts w:ascii="Times New Roman" w:eastAsia="Times New Roman" w:hAnsi="Times New Roman" w:cs="Times New Roman"/>
      <w:b/>
      <w:bCs/>
      <w:lang w:eastAsia="en-US"/>
    </w:rPr>
  </w:style>
  <w:style w:type="character" w:customStyle="1" w:styleId="CommentSubjectChar">
    <w:name w:val="Comment Subject Char"/>
    <w:basedOn w:val="CommentTextChar"/>
    <w:link w:val="CommentSubject"/>
    <w:rsid w:val="00DF141A"/>
    <w:rPr>
      <w:b/>
      <w:bCs/>
    </w:rPr>
  </w:style>
  <w:style w:type="character" w:customStyle="1" w:styleId="CommentSubjectChar1">
    <w:name w:val="Comment Subject Char1"/>
    <w:basedOn w:val="CommentTextChar1"/>
    <w:link w:val="CommentSubject"/>
    <w:rsid w:val="00DF141A"/>
    <w:rPr>
      <w:rFonts w:ascii="Times New Roman" w:eastAsia="Times New Roman" w:hAnsi="Times New Roman" w:cs="Times New Roman"/>
      <w:b/>
      <w:bCs/>
    </w:rPr>
  </w:style>
  <w:style w:type="character" w:customStyle="1" w:styleId="WW8Num2z0">
    <w:name w:val="WW8Num2z0"/>
    <w:rsid w:val="00DF141A"/>
    <w:rPr>
      <w:rFonts w:ascii="Symbol" w:hAnsi="Symbol"/>
    </w:rPr>
  </w:style>
  <w:style w:type="character" w:customStyle="1" w:styleId="WW8Num3z0">
    <w:name w:val="WW8Num3z0"/>
    <w:rsid w:val="00DF141A"/>
    <w:rPr>
      <w:rFonts w:ascii="Symbol" w:hAnsi="Symbol"/>
    </w:rPr>
  </w:style>
  <w:style w:type="character" w:customStyle="1" w:styleId="WW8Num4z0">
    <w:name w:val="WW8Num4z0"/>
    <w:rsid w:val="00DF141A"/>
    <w:rPr>
      <w:rFonts w:ascii="Symbol" w:hAnsi="Symbol"/>
    </w:rPr>
  </w:style>
  <w:style w:type="character" w:customStyle="1" w:styleId="WW8Num5z0">
    <w:name w:val="WW8Num5z0"/>
    <w:rsid w:val="00DF141A"/>
    <w:rPr>
      <w:b/>
    </w:rPr>
  </w:style>
  <w:style w:type="character" w:customStyle="1" w:styleId="WW8Num9z0">
    <w:name w:val="WW8Num9z0"/>
    <w:rsid w:val="00DF141A"/>
    <w:rPr>
      <w:rFonts w:ascii="Symbol" w:hAnsi="Symbol"/>
    </w:rPr>
  </w:style>
  <w:style w:type="character" w:customStyle="1" w:styleId="WW8Num10z0">
    <w:name w:val="WW8Num10z0"/>
    <w:rsid w:val="00DF141A"/>
    <w:rPr>
      <w:rFonts w:ascii="Symbol" w:hAnsi="Symbol"/>
    </w:rPr>
  </w:style>
  <w:style w:type="character" w:customStyle="1" w:styleId="WW8Num12z0">
    <w:name w:val="WW8Num12z0"/>
    <w:rsid w:val="00DF141A"/>
    <w:rPr>
      <w:rFonts w:ascii="Symbol" w:hAnsi="Symbol"/>
    </w:rPr>
  </w:style>
  <w:style w:type="character" w:customStyle="1" w:styleId="WW8Num13z0">
    <w:name w:val="WW8Num13z0"/>
    <w:rsid w:val="00DF141A"/>
    <w:rPr>
      <w:rFonts w:ascii="Symbol" w:hAnsi="Symbol"/>
    </w:rPr>
  </w:style>
  <w:style w:type="character" w:customStyle="1" w:styleId="WW8Num16z0">
    <w:name w:val="WW8Num16z0"/>
    <w:rsid w:val="00DF141A"/>
    <w:rPr>
      <w:rFonts w:ascii="Symbol" w:hAnsi="Symbol"/>
    </w:rPr>
  </w:style>
  <w:style w:type="character" w:customStyle="1" w:styleId="WW8Num17z0">
    <w:name w:val="WW8Num17z0"/>
    <w:rsid w:val="00DF141A"/>
    <w:rPr>
      <w:b/>
    </w:rPr>
  </w:style>
  <w:style w:type="character" w:customStyle="1" w:styleId="WW8Num18z0">
    <w:name w:val="WW8Num18z0"/>
    <w:rsid w:val="00DF141A"/>
    <w:rPr>
      <w:b/>
    </w:rPr>
  </w:style>
  <w:style w:type="character" w:customStyle="1" w:styleId="WW8Num20z0">
    <w:name w:val="WW8Num20z0"/>
    <w:rsid w:val="00DF141A"/>
    <w:rPr>
      <w:rFonts w:ascii="Symbol" w:hAnsi="Symbol"/>
    </w:rPr>
  </w:style>
  <w:style w:type="character" w:customStyle="1" w:styleId="WW8Num21z0">
    <w:name w:val="WW8Num21z0"/>
    <w:rsid w:val="00DF141A"/>
    <w:rPr>
      <w:rFonts w:ascii="Symbol" w:hAnsi="Symbol"/>
    </w:rPr>
  </w:style>
  <w:style w:type="character" w:customStyle="1" w:styleId="WW8Num22z0">
    <w:name w:val="WW8Num22z0"/>
    <w:rsid w:val="00DF141A"/>
    <w:rPr>
      <w:rFonts w:ascii="Symbol" w:hAnsi="Symbol"/>
    </w:rPr>
  </w:style>
  <w:style w:type="character" w:customStyle="1" w:styleId="WW8Num23z0">
    <w:name w:val="WW8Num23z0"/>
    <w:rsid w:val="00DF141A"/>
    <w:rPr>
      <w:rFonts w:ascii="Symbol" w:hAnsi="Symbol"/>
    </w:rPr>
  </w:style>
  <w:style w:type="character" w:customStyle="1" w:styleId="WW8Num26z0">
    <w:name w:val="WW8Num26z0"/>
    <w:rsid w:val="00DF141A"/>
    <w:rPr>
      <w:rFonts w:ascii="Symbol" w:hAnsi="Symbol"/>
    </w:rPr>
  </w:style>
  <w:style w:type="character" w:customStyle="1" w:styleId="WW8Num27z0">
    <w:name w:val="WW8Num27z0"/>
    <w:rsid w:val="00DF141A"/>
    <w:rPr>
      <w:rFonts w:ascii="Symbol" w:hAnsi="Symbol"/>
    </w:rPr>
  </w:style>
  <w:style w:type="character" w:customStyle="1" w:styleId="WW8Num28z0">
    <w:name w:val="WW8Num28z0"/>
    <w:rsid w:val="00DF141A"/>
    <w:rPr>
      <w:rFonts w:ascii="Symbol" w:hAnsi="Symbol"/>
    </w:rPr>
  </w:style>
  <w:style w:type="character" w:customStyle="1" w:styleId="Absatz-Standardschriftart">
    <w:name w:val="Absatz-Standardschriftart"/>
    <w:rsid w:val="00DF141A"/>
  </w:style>
  <w:style w:type="character" w:customStyle="1" w:styleId="WW-Absatz-Standardschriftart">
    <w:name w:val="WW-Absatz-Standardschriftart"/>
    <w:rsid w:val="00DF141A"/>
  </w:style>
  <w:style w:type="character" w:customStyle="1" w:styleId="WW-Absatz-Standardschriftart1">
    <w:name w:val="WW-Absatz-Standardschriftart1"/>
    <w:rsid w:val="00DF141A"/>
  </w:style>
  <w:style w:type="character" w:customStyle="1" w:styleId="WW-Absatz-Standardschriftart11">
    <w:name w:val="WW-Absatz-Standardschriftart11"/>
    <w:rsid w:val="00DF141A"/>
  </w:style>
  <w:style w:type="character" w:customStyle="1" w:styleId="WW8Num1z0">
    <w:name w:val="WW8Num1z0"/>
    <w:rsid w:val="00DF141A"/>
    <w:rPr>
      <w:rFonts w:ascii="Symbol" w:hAnsi="Symbol"/>
    </w:rPr>
  </w:style>
  <w:style w:type="character" w:customStyle="1" w:styleId="WW8Num2z1">
    <w:name w:val="WW8Num2z1"/>
    <w:rsid w:val="00DF141A"/>
    <w:rPr>
      <w:rFonts w:ascii="Courier New" w:hAnsi="Courier New" w:cs="Courier New"/>
    </w:rPr>
  </w:style>
  <w:style w:type="character" w:customStyle="1" w:styleId="WW8Num2z2">
    <w:name w:val="WW8Num2z2"/>
    <w:rsid w:val="00DF141A"/>
    <w:rPr>
      <w:rFonts w:ascii="Wingdings" w:hAnsi="Wingdings"/>
    </w:rPr>
  </w:style>
  <w:style w:type="character" w:customStyle="1" w:styleId="WW8Num3z1">
    <w:name w:val="WW8Num3z1"/>
    <w:rsid w:val="00DF141A"/>
    <w:rPr>
      <w:rFonts w:ascii="Courier New" w:hAnsi="Courier New" w:cs="Courier New"/>
    </w:rPr>
  </w:style>
  <w:style w:type="character" w:customStyle="1" w:styleId="WW8Num3z2">
    <w:name w:val="WW8Num3z2"/>
    <w:rsid w:val="00DF141A"/>
    <w:rPr>
      <w:rFonts w:ascii="Wingdings" w:hAnsi="Wingdings"/>
    </w:rPr>
  </w:style>
  <w:style w:type="character" w:customStyle="1" w:styleId="WW8Num4z1">
    <w:name w:val="WW8Num4z1"/>
    <w:rsid w:val="00DF141A"/>
    <w:rPr>
      <w:rFonts w:ascii="Courier New" w:hAnsi="Courier New" w:cs="Courier New"/>
    </w:rPr>
  </w:style>
  <w:style w:type="character" w:customStyle="1" w:styleId="WW8Num4z2">
    <w:name w:val="WW8Num4z2"/>
    <w:rsid w:val="00DF141A"/>
    <w:rPr>
      <w:rFonts w:ascii="Wingdings" w:hAnsi="Wingdings"/>
    </w:rPr>
  </w:style>
  <w:style w:type="character" w:customStyle="1" w:styleId="WW8Num9z1">
    <w:name w:val="WW8Num9z1"/>
    <w:rsid w:val="00DF141A"/>
    <w:rPr>
      <w:rFonts w:ascii="Courier New" w:hAnsi="Courier New" w:cs="Courier New"/>
    </w:rPr>
  </w:style>
  <w:style w:type="character" w:customStyle="1" w:styleId="WW8Num9z2">
    <w:name w:val="WW8Num9z2"/>
    <w:rsid w:val="00DF141A"/>
    <w:rPr>
      <w:rFonts w:ascii="Wingdings" w:hAnsi="Wingdings"/>
    </w:rPr>
  </w:style>
  <w:style w:type="character" w:customStyle="1" w:styleId="WW8Num10z1">
    <w:name w:val="WW8Num10z1"/>
    <w:rsid w:val="00DF141A"/>
    <w:rPr>
      <w:rFonts w:ascii="Courier New" w:hAnsi="Courier New" w:cs="Courier New"/>
    </w:rPr>
  </w:style>
  <w:style w:type="character" w:customStyle="1" w:styleId="WW8Num10z2">
    <w:name w:val="WW8Num10z2"/>
    <w:rsid w:val="00DF141A"/>
    <w:rPr>
      <w:rFonts w:ascii="Wingdings" w:hAnsi="Wingdings"/>
    </w:rPr>
  </w:style>
  <w:style w:type="character" w:customStyle="1" w:styleId="WW8Num12z1">
    <w:name w:val="WW8Num12z1"/>
    <w:rsid w:val="00DF141A"/>
    <w:rPr>
      <w:rFonts w:ascii="Courier New" w:hAnsi="Courier New" w:cs="Courier New"/>
    </w:rPr>
  </w:style>
  <w:style w:type="character" w:customStyle="1" w:styleId="WW8Num12z2">
    <w:name w:val="WW8Num12z2"/>
    <w:rsid w:val="00DF141A"/>
    <w:rPr>
      <w:rFonts w:ascii="Wingdings" w:hAnsi="Wingdings"/>
    </w:rPr>
  </w:style>
  <w:style w:type="character" w:customStyle="1" w:styleId="WW8Num13z1">
    <w:name w:val="WW8Num13z1"/>
    <w:rsid w:val="00DF141A"/>
    <w:rPr>
      <w:rFonts w:ascii="Courier New" w:hAnsi="Courier New" w:cs="Courier New"/>
    </w:rPr>
  </w:style>
  <w:style w:type="character" w:customStyle="1" w:styleId="WW8Num13z2">
    <w:name w:val="WW8Num13z2"/>
    <w:rsid w:val="00DF141A"/>
    <w:rPr>
      <w:rFonts w:ascii="Wingdings" w:hAnsi="Wingdings"/>
    </w:rPr>
  </w:style>
  <w:style w:type="character" w:customStyle="1" w:styleId="WW8Num16z1">
    <w:name w:val="WW8Num16z1"/>
    <w:rsid w:val="00DF141A"/>
    <w:rPr>
      <w:rFonts w:ascii="Courier New" w:hAnsi="Courier New" w:cs="Courier New"/>
    </w:rPr>
  </w:style>
  <w:style w:type="character" w:customStyle="1" w:styleId="WW8Num16z2">
    <w:name w:val="WW8Num16z2"/>
    <w:rsid w:val="00DF141A"/>
    <w:rPr>
      <w:rFonts w:ascii="Wingdings" w:hAnsi="Wingdings"/>
    </w:rPr>
  </w:style>
  <w:style w:type="character" w:customStyle="1" w:styleId="WW8Num20z1">
    <w:name w:val="WW8Num20z1"/>
    <w:rsid w:val="00DF141A"/>
    <w:rPr>
      <w:rFonts w:ascii="Courier New" w:hAnsi="Courier New" w:cs="Courier New"/>
    </w:rPr>
  </w:style>
  <w:style w:type="character" w:customStyle="1" w:styleId="WW8Num20z2">
    <w:name w:val="WW8Num20z2"/>
    <w:rsid w:val="00DF141A"/>
    <w:rPr>
      <w:rFonts w:ascii="Wingdings" w:hAnsi="Wingdings"/>
    </w:rPr>
  </w:style>
  <w:style w:type="character" w:customStyle="1" w:styleId="WW8Num21z1">
    <w:name w:val="WW8Num21z1"/>
    <w:rsid w:val="00DF141A"/>
    <w:rPr>
      <w:rFonts w:ascii="Courier New" w:hAnsi="Courier New" w:cs="Courier New"/>
    </w:rPr>
  </w:style>
  <w:style w:type="character" w:customStyle="1" w:styleId="WW8Num21z2">
    <w:name w:val="WW8Num21z2"/>
    <w:rsid w:val="00DF141A"/>
    <w:rPr>
      <w:rFonts w:ascii="Wingdings" w:hAnsi="Wingdings"/>
    </w:rPr>
  </w:style>
  <w:style w:type="character" w:customStyle="1" w:styleId="WW8Num22z1">
    <w:name w:val="WW8Num22z1"/>
    <w:rsid w:val="00DF141A"/>
    <w:rPr>
      <w:rFonts w:ascii="Courier New" w:hAnsi="Courier New" w:cs="Courier New"/>
    </w:rPr>
  </w:style>
  <w:style w:type="character" w:customStyle="1" w:styleId="WW8Num22z2">
    <w:name w:val="WW8Num22z2"/>
    <w:rsid w:val="00DF141A"/>
    <w:rPr>
      <w:rFonts w:ascii="Wingdings" w:hAnsi="Wingdings"/>
    </w:rPr>
  </w:style>
  <w:style w:type="character" w:customStyle="1" w:styleId="WW8Num23z1">
    <w:name w:val="WW8Num23z1"/>
    <w:rsid w:val="00DF141A"/>
    <w:rPr>
      <w:rFonts w:ascii="Courier New" w:hAnsi="Courier New" w:cs="Courier New"/>
    </w:rPr>
  </w:style>
  <w:style w:type="character" w:customStyle="1" w:styleId="WW8Num23z2">
    <w:name w:val="WW8Num23z2"/>
    <w:rsid w:val="00DF141A"/>
    <w:rPr>
      <w:rFonts w:ascii="Wingdings" w:hAnsi="Wingdings"/>
    </w:rPr>
  </w:style>
  <w:style w:type="character" w:customStyle="1" w:styleId="WW8Num26z1">
    <w:name w:val="WW8Num26z1"/>
    <w:rsid w:val="00DF141A"/>
    <w:rPr>
      <w:rFonts w:ascii="Courier New" w:hAnsi="Courier New" w:cs="Courier New"/>
    </w:rPr>
  </w:style>
  <w:style w:type="character" w:customStyle="1" w:styleId="WW8Num26z2">
    <w:name w:val="WW8Num26z2"/>
    <w:rsid w:val="00DF141A"/>
    <w:rPr>
      <w:rFonts w:ascii="Wingdings" w:hAnsi="Wingdings"/>
    </w:rPr>
  </w:style>
  <w:style w:type="character" w:customStyle="1" w:styleId="WW8Num27z1">
    <w:name w:val="WW8Num27z1"/>
    <w:rsid w:val="00DF141A"/>
    <w:rPr>
      <w:rFonts w:ascii="Courier New" w:hAnsi="Courier New" w:cs="Courier New"/>
    </w:rPr>
  </w:style>
  <w:style w:type="character" w:customStyle="1" w:styleId="WW8Num27z2">
    <w:name w:val="WW8Num27z2"/>
    <w:rsid w:val="00DF141A"/>
    <w:rPr>
      <w:rFonts w:ascii="Wingdings" w:hAnsi="Wingdings"/>
    </w:rPr>
  </w:style>
  <w:style w:type="character" w:customStyle="1" w:styleId="WW8Num28z1">
    <w:name w:val="WW8Num28z1"/>
    <w:rsid w:val="00DF141A"/>
    <w:rPr>
      <w:rFonts w:ascii="Courier New" w:hAnsi="Courier New" w:cs="Courier New"/>
    </w:rPr>
  </w:style>
  <w:style w:type="character" w:customStyle="1" w:styleId="WW8Num28z2">
    <w:name w:val="WW8Num28z2"/>
    <w:rsid w:val="00DF141A"/>
    <w:rPr>
      <w:rFonts w:ascii="Wingdings" w:hAnsi="Wingdings"/>
    </w:rPr>
  </w:style>
  <w:style w:type="character" w:customStyle="1" w:styleId="CharChar3">
    <w:name w:val="Char Char3"/>
    <w:basedOn w:val="DefaultParagraphFont"/>
    <w:rsid w:val="00DF141A"/>
  </w:style>
  <w:style w:type="character" w:customStyle="1" w:styleId="CharChar2">
    <w:name w:val="Char Char2"/>
    <w:basedOn w:val="DefaultParagraphFont"/>
    <w:rsid w:val="00DF141A"/>
    <w:rPr>
      <w:rFonts w:ascii="Tahoma" w:hAnsi="Tahoma" w:cs="Tahoma"/>
      <w:sz w:val="16"/>
      <w:szCs w:val="16"/>
    </w:rPr>
  </w:style>
  <w:style w:type="character" w:customStyle="1" w:styleId="FootnoteCharacters">
    <w:name w:val="Footnote Characters"/>
    <w:basedOn w:val="DefaultParagraphFont"/>
    <w:rsid w:val="00DF141A"/>
    <w:rPr>
      <w:vertAlign w:val="superscript"/>
    </w:rPr>
  </w:style>
  <w:style w:type="character" w:styleId="PageNumber">
    <w:name w:val="page number"/>
    <w:basedOn w:val="DefaultParagraphFont"/>
    <w:rsid w:val="00DF141A"/>
  </w:style>
  <w:style w:type="paragraph" w:customStyle="1" w:styleId="Heading">
    <w:name w:val="Heading"/>
    <w:basedOn w:val="Normal"/>
    <w:next w:val="BodyText"/>
    <w:rsid w:val="00DF141A"/>
    <w:pPr>
      <w:keepNext/>
      <w:suppressAutoHyphens/>
      <w:spacing w:before="240" w:after="120" w:line="276" w:lineRule="auto"/>
    </w:pPr>
    <w:rPr>
      <w:rFonts w:ascii="Arial" w:eastAsia="MS Mincho" w:hAnsi="Arial" w:cs="Tahoma"/>
      <w:sz w:val="28"/>
      <w:szCs w:val="28"/>
      <w:lang w:eastAsia="ar-SA"/>
    </w:rPr>
  </w:style>
  <w:style w:type="paragraph" w:styleId="BodyText">
    <w:name w:val="Body Text"/>
    <w:basedOn w:val="Normal"/>
    <w:link w:val="BodyTextChar"/>
    <w:rsid w:val="00DF141A"/>
    <w:pPr>
      <w:suppressAutoHyphens/>
      <w:spacing w:after="120" w:line="276" w:lineRule="auto"/>
    </w:pPr>
    <w:rPr>
      <w:rFonts w:ascii="Calibri" w:eastAsia="Calibri" w:hAnsi="Calibri" w:cs="Calibri"/>
      <w:sz w:val="22"/>
      <w:szCs w:val="22"/>
      <w:lang w:eastAsia="ar-SA"/>
    </w:rPr>
  </w:style>
  <w:style w:type="character" w:customStyle="1" w:styleId="BodyTextChar">
    <w:name w:val="Body Text Char"/>
    <w:basedOn w:val="DefaultParagraphFont"/>
    <w:link w:val="BodyText"/>
    <w:rsid w:val="00DF141A"/>
    <w:rPr>
      <w:rFonts w:ascii="Calibri" w:eastAsia="Calibri" w:hAnsi="Calibri" w:cs="Calibri"/>
      <w:lang w:eastAsia="ar-SA"/>
    </w:rPr>
  </w:style>
  <w:style w:type="paragraph" w:styleId="List">
    <w:name w:val="List"/>
    <w:basedOn w:val="BodyText"/>
    <w:rsid w:val="00DF141A"/>
    <w:rPr>
      <w:rFonts w:cs="Tahoma"/>
    </w:rPr>
  </w:style>
  <w:style w:type="paragraph" w:customStyle="1" w:styleId="Index">
    <w:name w:val="Index"/>
    <w:basedOn w:val="Normal"/>
    <w:rsid w:val="00DF141A"/>
    <w:pPr>
      <w:suppressLineNumbers/>
      <w:suppressAutoHyphens/>
      <w:spacing w:after="200" w:line="276" w:lineRule="auto"/>
    </w:pPr>
    <w:rPr>
      <w:rFonts w:ascii="Calibri" w:eastAsia="Calibri" w:hAnsi="Calibri" w:cs="Tahoma"/>
      <w:sz w:val="22"/>
      <w:szCs w:val="22"/>
      <w:lang w:eastAsia="ar-SA"/>
    </w:rPr>
  </w:style>
  <w:style w:type="paragraph" w:styleId="FootnoteText">
    <w:name w:val="footnote text"/>
    <w:basedOn w:val="Normal"/>
    <w:link w:val="FootnoteTextChar"/>
    <w:semiHidden/>
    <w:rsid w:val="00DF141A"/>
    <w:pPr>
      <w:suppressAutoHyphens/>
    </w:pPr>
    <w:rPr>
      <w:rFonts w:cs="Calibri"/>
      <w:sz w:val="20"/>
      <w:szCs w:val="20"/>
      <w:lang w:eastAsia="ar-SA"/>
    </w:rPr>
  </w:style>
  <w:style w:type="character" w:customStyle="1" w:styleId="FootnoteTextChar">
    <w:name w:val="Footnote Text Char"/>
    <w:basedOn w:val="DefaultParagraphFont"/>
    <w:link w:val="FootnoteText"/>
    <w:semiHidden/>
    <w:rsid w:val="00DF141A"/>
    <w:rPr>
      <w:rFonts w:ascii="Times New Roman" w:eastAsia="Times New Roman" w:hAnsi="Times New Roman" w:cs="Calibri"/>
      <w:sz w:val="20"/>
      <w:szCs w:val="20"/>
      <w:lang w:eastAsia="ar-SA"/>
    </w:rPr>
  </w:style>
  <w:style w:type="paragraph" w:customStyle="1" w:styleId="WW-Default">
    <w:name w:val="WW-Default"/>
    <w:rsid w:val="00DF141A"/>
    <w:pPr>
      <w:widowControl w:val="0"/>
      <w:suppressAutoHyphens/>
      <w:autoSpaceDE w:val="0"/>
      <w:spacing w:after="0" w:line="240" w:lineRule="auto"/>
    </w:pPr>
    <w:rPr>
      <w:rFonts w:ascii="Times New Roman" w:eastAsia="Times New Roman" w:hAnsi="Times New Roman" w:cs="Calibri"/>
      <w:color w:val="000000"/>
      <w:sz w:val="24"/>
      <w:szCs w:val="24"/>
      <w:lang w:eastAsia="ar-SA"/>
    </w:rPr>
  </w:style>
  <w:style w:type="paragraph" w:customStyle="1" w:styleId="DarkList-Accent31">
    <w:name w:val="Dark List - Accent 31"/>
    <w:rsid w:val="00DF141A"/>
    <w:pPr>
      <w:suppressAutoHyphens/>
      <w:spacing w:after="0" w:line="240" w:lineRule="auto"/>
    </w:pPr>
    <w:rPr>
      <w:rFonts w:ascii="Calibri" w:eastAsia="Calibri" w:hAnsi="Calibri" w:cs="Calibri"/>
      <w:lang w:eastAsia="ar-SA"/>
    </w:rPr>
  </w:style>
  <w:style w:type="paragraph" w:styleId="List2">
    <w:name w:val="List 2"/>
    <w:basedOn w:val="Normal"/>
    <w:rsid w:val="00DF141A"/>
    <w:pPr>
      <w:suppressAutoHyphens/>
      <w:spacing w:after="200" w:line="276" w:lineRule="auto"/>
      <w:ind w:left="720" w:hanging="360"/>
    </w:pPr>
    <w:rPr>
      <w:rFonts w:ascii="Calibri" w:eastAsia="Calibri" w:hAnsi="Calibri" w:cs="Calibri"/>
      <w:sz w:val="22"/>
      <w:szCs w:val="22"/>
      <w:lang w:eastAsia="ar-SA"/>
    </w:rPr>
  </w:style>
  <w:style w:type="paragraph" w:styleId="List3">
    <w:name w:val="List 3"/>
    <w:basedOn w:val="Normal"/>
    <w:rsid w:val="00DF141A"/>
    <w:pPr>
      <w:suppressAutoHyphens/>
      <w:spacing w:after="200" w:line="276" w:lineRule="auto"/>
      <w:ind w:left="1080" w:hanging="360"/>
    </w:pPr>
    <w:rPr>
      <w:rFonts w:ascii="Calibri" w:eastAsia="Calibri" w:hAnsi="Calibri" w:cs="Calibri"/>
      <w:sz w:val="22"/>
      <w:szCs w:val="22"/>
      <w:lang w:eastAsia="ar-SA"/>
    </w:rPr>
  </w:style>
  <w:style w:type="paragraph" w:styleId="ListBullet2">
    <w:name w:val="List Bullet 2"/>
    <w:basedOn w:val="Normal"/>
    <w:rsid w:val="00DF141A"/>
    <w:pPr>
      <w:suppressAutoHyphens/>
      <w:spacing w:after="200" w:line="276" w:lineRule="auto"/>
    </w:pPr>
    <w:rPr>
      <w:rFonts w:ascii="Calibri" w:eastAsia="Calibri" w:hAnsi="Calibri" w:cs="Calibri"/>
      <w:sz w:val="22"/>
      <w:szCs w:val="22"/>
      <w:lang w:eastAsia="ar-SA"/>
    </w:rPr>
  </w:style>
  <w:style w:type="paragraph" w:styleId="Title">
    <w:name w:val="Title"/>
    <w:basedOn w:val="Normal"/>
    <w:next w:val="Subtitle"/>
    <w:link w:val="TitleChar"/>
    <w:uiPriority w:val="10"/>
    <w:qFormat/>
    <w:rsid w:val="00DF141A"/>
    <w:pPr>
      <w:suppressAutoHyphens/>
      <w:spacing w:before="240" w:after="60" w:line="276" w:lineRule="auto"/>
      <w:jc w:val="center"/>
    </w:pPr>
    <w:rPr>
      <w:rFonts w:ascii="Arial" w:eastAsia="Calibri" w:hAnsi="Arial"/>
      <w:b/>
      <w:bCs/>
      <w:kern w:val="1"/>
      <w:sz w:val="32"/>
      <w:szCs w:val="32"/>
      <w:lang w:eastAsia="ar-SA"/>
    </w:rPr>
  </w:style>
  <w:style w:type="character" w:customStyle="1" w:styleId="TitleChar">
    <w:name w:val="Title Char"/>
    <w:basedOn w:val="DefaultParagraphFont"/>
    <w:link w:val="Title"/>
    <w:uiPriority w:val="10"/>
    <w:rsid w:val="00DF141A"/>
    <w:rPr>
      <w:rFonts w:ascii="Arial" w:eastAsia="Calibri" w:hAnsi="Arial" w:cs="Times New Roman"/>
      <w:b/>
      <w:bCs/>
      <w:kern w:val="1"/>
      <w:sz w:val="32"/>
      <w:szCs w:val="32"/>
      <w:lang w:eastAsia="ar-SA"/>
    </w:rPr>
  </w:style>
  <w:style w:type="paragraph" w:styleId="Subtitle">
    <w:name w:val="Subtitle"/>
    <w:basedOn w:val="Heading"/>
    <w:next w:val="BodyText"/>
    <w:link w:val="SubtitleChar"/>
    <w:qFormat/>
    <w:rsid w:val="00DF141A"/>
    <w:pPr>
      <w:jc w:val="center"/>
    </w:pPr>
    <w:rPr>
      <w:i/>
      <w:iCs/>
    </w:rPr>
  </w:style>
  <w:style w:type="character" w:customStyle="1" w:styleId="SubtitleChar">
    <w:name w:val="Subtitle Char"/>
    <w:basedOn w:val="DefaultParagraphFont"/>
    <w:link w:val="Subtitle"/>
    <w:rsid w:val="00DF141A"/>
    <w:rPr>
      <w:rFonts w:ascii="Arial" w:eastAsia="MS Mincho" w:hAnsi="Arial" w:cs="Tahoma"/>
      <w:i/>
      <w:iCs/>
      <w:sz w:val="28"/>
      <w:szCs w:val="28"/>
      <w:lang w:eastAsia="ar-SA"/>
    </w:rPr>
  </w:style>
  <w:style w:type="paragraph" w:styleId="BodyTextIndent">
    <w:name w:val="Body Text Indent"/>
    <w:basedOn w:val="Normal"/>
    <w:link w:val="BodyTextIndentChar"/>
    <w:rsid w:val="00DF141A"/>
    <w:pPr>
      <w:suppressAutoHyphens/>
      <w:spacing w:after="120" w:line="276" w:lineRule="auto"/>
      <w:ind w:left="360"/>
    </w:pPr>
    <w:rPr>
      <w:rFonts w:ascii="Calibri" w:eastAsia="Calibri" w:hAnsi="Calibri" w:cs="Calibri"/>
      <w:sz w:val="22"/>
      <w:szCs w:val="22"/>
      <w:lang w:eastAsia="ar-SA"/>
    </w:rPr>
  </w:style>
  <w:style w:type="character" w:customStyle="1" w:styleId="BodyTextIndentChar">
    <w:name w:val="Body Text Indent Char"/>
    <w:basedOn w:val="DefaultParagraphFont"/>
    <w:link w:val="BodyTextIndent"/>
    <w:rsid w:val="00DF141A"/>
    <w:rPr>
      <w:rFonts w:ascii="Calibri" w:eastAsia="Calibri" w:hAnsi="Calibri" w:cs="Calibri"/>
      <w:lang w:eastAsia="ar-SA"/>
    </w:rPr>
  </w:style>
  <w:style w:type="paragraph" w:styleId="BodyTextFirstIndent2">
    <w:name w:val="Body Text First Indent 2"/>
    <w:basedOn w:val="BodyTextIndent"/>
    <w:link w:val="BodyTextFirstIndent2Char"/>
    <w:rsid w:val="00DF141A"/>
    <w:pPr>
      <w:ind w:firstLine="210"/>
    </w:pPr>
  </w:style>
  <w:style w:type="character" w:customStyle="1" w:styleId="BodyTextFirstIndent2Char">
    <w:name w:val="Body Text First Indent 2 Char"/>
    <w:basedOn w:val="BodyTextIndentChar"/>
    <w:link w:val="BodyTextFirstIndent2"/>
    <w:rsid w:val="00DF141A"/>
  </w:style>
  <w:style w:type="paragraph" w:customStyle="1" w:styleId="Style1">
    <w:name w:val="Style1"/>
    <w:basedOn w:val="Heading3"/>
    <w:rsid w:val="00DF141A"/>
    <w:pPr>
      <w:suppressAutoHyphens/>
      <w:spacing w:line="276" w:lineRule="auto"/>
    </w:pPr>
    <w:rPr>
      <w:rFonts w:ascii="Times New Roman" w:eastAsia="Calibri" w:hAnsi="Times New Roman"/>
      <w:sz w:val="24"/>
      <w:lang w:eastAsia="ar-SA"/>
    </w:rPr>
  </w:style>
  <w:style w:type="paragraph" w:styleId="Header">
    <w:name w:val="header"/>
    <w:basedOn w:val="Normal"/>
    <w:link w:val="HeaderChar"/>
    <w:uiPriority w:val="99"/>
    <w:rsid w:val="00DF141A"/>
    <w:pPr>
      <w:tabs>
        <w:tab w:val="center" w:pos="4320"/>
        <w:tab w:val="right" w:pos="8640"/>
      </w:tabs>
      <w:suppressAutoHyphens/>
      <w:spacing w:after="200" w:line="276" w:lineRule="auto"/>
    </w:pPr>
    <w:rPr>
      <w:rFonts w:ascii="Calibri" w:eastAsia="Calibri" w:hAnsi="Calibri" w:cs="Calibri"/>
      <w:sz w:val="22"/>
      <w:szCs w:val="22"/>
      <w:lang w:eastAsia="ar-SA"/>
    </w:rPr>
  </w:style>
  <w:style w:type="character" w:customStyle="1" w:styleId="HeaderChar">
    <w:name w:val="Header Char"/>
    <w:basedOn w:val="DefaultParagraphFont"/>
    <w:link w:val="Header"/>
    <w:uiPriority w:val="99"/>
    <w:rsid w:val="00DF141A"/>
    <w:rPr>
      <w:rFonts w:ascii="Calibri" w:eastAsia="Calibri" w:hAnsi="Calibri" w:cs="Calibri"/>
      <w:lang w:eastAsia="ar-SA"/>
    </w:rPr>
  </w:style>
  <w:style w:type="paragraph" w:styleId="Footer">
    <w:name w:val="footer"/>
    <w:basedOn w:val="Normal"/>
    <w:link w:val="FooterChar"/>
    <w:uiPriority w:val="99"/>
    <w:rsid w:val="00DF141A"/>
    <w:pPr>
      <w:tabs>
        <w:tab w:val="center" w:pos="4320"/>
        <w:tab w:val="right" w:pos="8640"/>
      </w:tabs>
      <w:suppressAutoHyphens/>
      <w:spacing w:after="200" w:line="276" w:lineRule="auto"/>
    </w:pPr>
    <w:rPr>
      <w:rFonts w:ascii="Calibri" w:eastAsia="Calibri" w:hAnsi="Calibri"/>
      <w:sz w:val="22"/>
      <w:szCs w:val="22"/>
      <w:lang w:eastAsia="ar-SA"/>
    </w:rPr>
  </w:style>
  <w:style w:type="character" w:customStyle="1" w:styleId="FooterChar">
    <w:name w:val="Footer Char"/>
    <w:basedOn w:val="DefaultParagraphFont"/>
    <w:link w:val="Footer"/>
    <w:uiPriority w:val="99"/>
    <w:rsid w:val="00DF141A"/>
    <w:rPr>
      <w:rFonts w:ascii="Calibri" w:eastAsia="Calibri" w:hAnsi="Calibri" w:cs="Times New Roman"/>
      <w:lang w:eastAsia="ar-SA"/>
    </w:rPr>
  </w:style>
  <w:style w:type="paragraph" w:styleId="TOC1">
    <w:name w:val="toc 1"/>
    <w:basedOn w:val="Normal"/>
    <w:next w:val="Normal"/>
    <w:uiPriority w:val="39"/>
    <w:rsid w:val="00DF141A"/>
    <w:pPr>
      <w:tabs>
        <w:tab w:val="right" w:leader="dot" w:pos="9350"/>
      </w:tabs>
      <w:suppressAutoHyphens/>
      <w:spacing w:after="200" w:line="276" w:lineRule="auto"/>
    </w:pPr>
    <w:rPr>
      <w:rFonts w:ascii="Calibri" w:eastAsia="Calibri" w:hAnsi="Calibri" w:cs="Calibri"/>
      <w:b/>
      <w:bCs/>
      <w:smallCaps/>
      <w:sz w:val="22"/>
      <w:szCs w:val="22"/>
      <w:lang w:eastAsia="ar-SA"/>
    </w:rPr>
  </w:style>
  <w:style w:type="paragraph" w:styleId="TOC2">
    <w:name w:val="toc 2"/>
    <w:basedOn w:val="Normal"/>
    <w:next w:val="Normal"/>
    <w:uiPriority w:val="39"/>
    <w:rsid w:val="00DF141A"/>
    <w:pPr>
      <w:suppressAutoHyphens/>
      <w:spacing w:after="200" w:line="276" w:lineRule="auto"/>
      <w:ind w:left="220"/>
    </w:pPr>
    <w:rPr>
      <w:rFonts w:ascii="Calibri" w:eastAsia="Calibri" w:hAnsi="Calibri" w:cs="Calibri"/>
      <w:sz w:val="22"/>
      <w:szCs w:val="22"/>
      <w:lang w:eastAsia="ar-SA"/>
    </w:rPr>
  </w:style>
  <w:style w:type="paragraph" w:styleId="TOC3">
    <w:name w:val="toc 3"/>
    <w:basedOn w:val="Normal"/>
    <w:next w:val="Normal"/>
    <w:uiPriority w:val="39"/>
    <w:rsid w:val="00DF141A"/>
    <w:pPr>
      <w:suppressAutoHyphens/>
      <w:spacing w:after="200" w:line="276" w:lineRule="auto"/>
      <w:ind w:left="440"/>
    </w:pPr>
    <w:rPr>
      <w:rFonts w:ascii="Calibri" w:eastAsia="Calibri" w:hAnsi="Calibri" w:cs="Calibri"/>
      <w:sz w:val="22"/>
      <w:szCs w:val="22"/>
      <w:lang w:eastAsia="ar-SA"/>
    </w:rPr>
  </w:style>
  <w:style w:type="paragraph" w:styleId="TOC4">
    <w:name w:val="toc 4"/>
    <w:basedOn w:val="Index"/>
    <w:uiPriority w:val="39"/>
    <w:rsid w:val="00DF141A"/>
    <w:pPr>
      <w:tabs>
        <w:tab w:val="right" w:leader="dot" w:pos="9972"/>
      </w:tabs>
      <w:ind w:left="849"/>
    </w:pPr>
  </w:style>
  <w:style w:type="paragraph" w:styleId="TOC5">
    <w:name w:val="toc 5"/>
    <w:basedOn w:val="Index"/>
    <w:uiPriority w:val="39"/>
    <w:rsid w:val="00DF141A"/>
    <w:pPr>
      <w:tabs>
        <w:tab w:val="right" w:leader="dot" w:pos="9972"/>
      </w:tabs>
      <w:ind w:left="1132"/>
    </w:pPr>
  </w:style>
  <w:style w:type="paragraph" w:styleId="TOC6">
    <w:name w:val="toc 6"/>
    <w:basedOn w:val="Index"/>
    <w:uiPriority w:val="39"/>
    <w:rsid w:val="00DF141A"/>
    <w:pPr>
      <w:tabs>
        <w:tab w:val="right" w:leader="dot" w:pos="9972"/>
      </w:tabs>
      <w:ind w:left="1415"/>
    </w:pPr>
  </w:style>
  <w:style w:type="paragraph" w:styleId="TOC7">
    <w:name w:val="toc 7"/>
    <w:basedOn w:val="Index"/>
    <w:uiPriority w:val="39"/>
    <w:rsid w:val="00DF141A"/>
    <w:pPr>
      <w:tabs>
        <w:tab w:val="right" w:leader="dot" w:pos="9972"/>
      </w:tabs>
      <w:ind w:left="1698"/>
    </w:pPr>
  </w:style>
  <w:style w:type="paragraph" w:styleId="TOC8">
    <w:name w:val="toc 8"/>
    <w:basedOn w:val="Index"/>
    <w:uiPriority w:val="39"/>
    <w:rsid w:val="00DF141A"/>
    <w:pPr>
      <w:tabs>
        <w:tab w:val="right" w:leader="dot" w:pos="9972"/>
      </w:tabs>
      <w:ind w:left="1981"/>
    </w:pPr>
  </w:style>
  <w:style w:type="paragraph" w:styleId="TOC9">
    <w:name w:val="toc 9"/>
    <w:basedOn w:val="Index"/>
    <w:uiPriority w:val="39"/>
    <w:rsid w:val="00DF141A"/>
    <w:pPr>
      <w:tabs>
        <w:tab w:val="right" w:leader="dot" w:pos="9972"/>
      </w:tabs>
      <w:ind w:left="2264"/>
    </w:pPr>
  </w:style>
  <w:style w:type="paragraph" w:customStyle="1" w:styleId="Contents10">
    <w:name w:val="Contents 10"/>
    <w:basedOn w:val="Index"/>
    <w:rsid w:val="00DF141A"/>
    <w:pPr>
      <w:tabs>
        <w:tab w:val="right" w:leader="dot" w:pos="9972"/>
      </w:tabs>
      <w:ind w:left="2547"/>
    </w:pPr>
  </w:style>
  <w:style w:type="paragraph" w:customStyle="1" w:styleId="TableContents">
    <w:name w:val="Table Contents"/>
    <w:basedOn w:val="Normal"/>
    <w:rsid w:val="00DF141A"/>
    <w:pPr>
      <w:suppressLineNumbers/>
      <w:suppressAutoHyphens/>
      <w:spacing w:after="200" w:line="276" w:lineRule="auto"/>
    </w:pPr>
    <w:rPr>
      <w:rFonts w:ascii="Calibri" w:eastAsia="Calibri" w:hAnsi="Calibri" w:cs="Calibri"/>
      <w:sz w:val="22"/>
      <w:szCs w:val="22"/>
      <w:lang w:eastAsia="ar-SA"/>
    </w:rPr>
  </w:style>
  <w:style w:type="paragraph" w:customStyle="1" w:styleId="TableHeading">
    <w:name w:val="Table Heading"/>
    <w:basedOn w:val="TableContents"/>
    <w:rsid w:val="00DF141A"/>
    <w:pPr>
      <w:jc w:val="center"/>
    </w:pPr>
    <w:rPr>
      <w:b/>
      <w:bCs/>
    </w:rPr>
  </w:style>
  <w:style w:type="paragraph" w:customStyle="1" w:styleId="Framecontents">
    <w:name w:val="Frame contents"/>
    <w:basedOn w:val="BodyText"/>
    <w:rsid w:val="00DF141A"/>
  </w:style>
  <w:style w:type="table" w:styleId="TableGrid">
    <w:name w:val="Table Grid"/>
    <w:basedOn w:val="TableNormal"/>
    <w:rsid w:val="00DF141A"/>
    <w:pPr>
      <w:suppressAutoHyphens/>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semiHidden/>
    <w:unhideWhenUsed/>
    <w:rsid w:val="00DF141A"/>
    <w:rPr>
      <w:vertAlign w:val="superscript"/>
    </w:rPr>
  </w:style>
  <w:style w:type="paragraph" w:styleId="ListBullet">
    <w:name w:val="List Bullet"/>
    <w:basedOn w:val="Normal"/>
    <w:rsid w:val="00DF141A"/>
    <w:pPr>
      <w:tabs>
        <w:tab w:val="num" w:pos="360"/>
      </w:tabs>
      <w:ind w:left="360" w:hanging="360"/>
    </w:pPr>
  </w:style>
  <w:style w:type="character" w:customStyle="1" w:styleId="Char2">
    <w:name w:val="Char2"/>
    <w:basedOn w:val="CommentSubjectChar1"/>
    <w:rsid w:val="00DF141A"/>
  </w:style>
  <w:style w:type="character" w:customStyle="1" w:styleId="Char1">
    <w:name w:val="Char1"/>
    <w:basedOn w:val="DefaultParagraphFont"/>
    <w:rsid w:val="00DF141A"/>
    <w:rPr>
      <w:rFonts w:ascii="Arial" w:hAnsi="Arial" w:cs="Arial"/>
      <w:b/>
      <w:bCs/>
      <w:sz w:val="26"/>
      <w:szCs w:val="26"/>
      <w:lang w:val="en-US" w:eastAsia="en-US" w:bidi="ar-SA"/>
    </w:rPr>
  </w:style>
  <w:style w:type="paragraph" w:customStyle="1" w:styleId="Default">
    <w:name w:val="Default"/>
    <w:rsid w:val="00DF141A"/>
    <w:pPr>
      <w:widowControl w:val="0"/>
      <w:autoSpaceDE w:val="0"/>
      <w:autoSpaceDN w:val="0"/>
      <w:adjustRightInd w:val="0"/>
      <w:spacing w:after="0" w:line="240" w:lineRule="auto"/>
    </w:pPr>
    <w:rPr>
      <w:rFonts w:ascii="Times" w:eastAsia="Times New Roman" w:hAnsi="Times" w:cs="Times"/>
      <w:color w:val="000000"/>
      <w:sz w:val="24"/>
      <w:szCs w:val="24"/>
    </w:rPr>
  </w:style>
  <w:style w:type="paragraph" w:customStyle="1" w:styleId="CM82">
    <w:name w:val="CM82"/>
    <w:basedOn w:val="Default"/>
    <w:next w:val="Default"/>
    <w:uiPriority w:val="99"/>
    <w:rsid w:val="00DF141A"/>
    <w:rPr>
      <w:rFonts w:cs="Times New Roman"/>
      <w:color w:val="auto"/>
    </w:rPr>
  </w:style>
  <w:style w:type="paragraph" w:customStyle="1" w:styleId="CM2">
    <w:name w:val="CM2"/>
    <w:basedOn w:val="Default"/>
    <w:next w:val="Default"/>
    <w:uiPriority w:val="99"/>
    <w:rsid w:val="00DF141A"/>
    <w:pPr>
      <w:spacing w:line="276" w:lineRule="atLeast"/>
    </w:pPr>
    <w:rPr>
      <w:rFonts w:cs="Times New Roman"/>
      <w:color w:val="auto"/>
    </w:rPr>
  </w:style>
  <w:style w:type="paragraph" w:customStyle="1" w:styleId="CM83">
    <w:name w:val="CM83"/>
    <w:basedOn w:val="Default"/>
    <w:next w:val="Default"/>
    <w:uiPriority w:val="99"/>
    <w:rsid w:val="00DF141A"/>
    <w:rPr>
      <w:rFonts w:cs="Times New Roman"/>
      <w:color w:val="auto"/>
    </w:rPr>
  </w:style>
  <w:style w:type="paragraph" w:customStyle="1" w:styleId="CM85">
    <w:name w:val="CM85"/>
    <w:basedOn w:val="Default"/>
    <w:next w:val="Default"/>
    <w:uiPriority w:val="99"/>
    <w:rsid w:val="00DF141A"/>
    <w:rPr>
      <w:rFonts w:cs="Times New Roman"/>
      <w:color w:val="auto"/>
    </w:rPr>
  </w:style>
  <w:style w:type="paragraph" w:customStyle="1" w:styleId="CM89">
    <w:name w:val="CM89"/>
    <w:basedOn w:val="Default"/>
    <w:next w:val="Default"/>
    <w:uiPriority w:val="99"/>
    <w:rsid w:val="00DF141A"/>
    <w:rPr>
      <w:rFonts w:cs="Times New Roman"/>
      <w:color w:val="auto"/>
    </w:rPr>
  </w:style>
  <w:style w:type="paragraph" w:customStyle="1" w:styleId="CM86">
    <w:name w:val="CM86"/>
    <w:basedOn w:val="Default"/>
    <w:next w:val="Default"/>
    <w:uiPriority w:val="99"/>
    <w:rsid w:val="00DF141A"/>
    <w:rPr>
      <w:rFonts w:cs="Times New Roman"/>
      <w:color w:val="auto"/>
    </w:rPr>
  </w:style>
  <w:style w:type="paragraph" w:customStyle="1" w:styleId="CM24">
    <w:name w:val="CM24"/>
    <w:basedOn w:val="Default"/>
    <w:next w:val="Default"/>
    <w:uiPriority w:val="99"/>
    <w:rsid w:val="00DF141A"/>
    <w:pPr>
      <w:spacing w:line="276" w:lineRule="atLeast"/>
    </w:pPr>
    <w:rPr>
      <w:rFonts w:cs="Times New Roman"/>
      <w:color w:val="auto"/>
    </w:rPr>
  </w:style>
  <w:style w:type="paragraph" w:customStyle="1" w:styleId="CM33">
    <w:name w:val="CM33"/>
    <w:basedOn w:val="Default"/>
    <w:next w:val="Default"/>
    <w:uiPriority w:val="99"/>
    <w:rsid w:val="00DF141A"/>
    <w:pPr>
      <w:spacing w:line="276" w:lineRule="atLeast"/>
    </w:pPr>
    <w:rPr>
      <w:rFonts w:cs="Times New Roman"/>
      <w:color w:val="auto"/>
    </w:rPr>
  </w:style>
  <w:style w:type="paragraph" w:customStyle="1" w:styleId="CM95">
    <w:name w:val="CM95"/>
    <w:basedOn w:val="Default"/>
    <w:next w:val="Default"/>
    <w:uiPriority w:val="99"/>
    <w:rsid w:val="00DF141A"/>
    <w:rPr>
      <w:rFonts w:cs="Times New Roman"/>
      <w:color w:val="auto"/>
    </w:rPr>
  </w:style>
  <w:style w:type="paragraph" w:customStyle="1" w:styleId="CM13">
    <w:name w:val="CM13"/>
    <w:basedOn w:val="Default"/>
    <w:next w:val="Default"/>
    <w:uiPriority w:val="99"/>
    <w:rsid w:val="00DF141A"/>
    <w:pPr>
      <w:spacing w:line="276" w:lineRule="atLeast"/>
    </w:pPr>
    <w:rPr>
      <w:rFonts w:cs="Times New Roman"/>
      <w:color w:val="auto"/>
    </w:rPr>
  </w:style>
  <w:style w:type="paragraph" w:customStyle="1" w:styleId="CM43">
    <w:name w:val="CM43"/>
    <w:basedOn w:val="Default"/>
    <w:next w:val="Default"/>
    <w:uiPriority w:val="99"/>
    <w:rsid w:val="00DF141A"/>
    <w:pPr>
      <w:spacing w:line="276" w:lineRule="atLeast"/>
    </w:pPr>
    <w:rPr>
      <w:rFonts w:cs="Times New Roman"/>
      <w:color w:val="auto"/>
    </w:rPr>
  </w:style>
  <w:style w:type="paragraph" w:customStyle="1" w:styleId="CM44">
    <w:name w:val="CM44"/>
    <w:basedOn w:val="Default"/>
    <w:next w:val="Default"/>
    <w:uiPriority w:val="99"/>
    <w:rsid w:val="00DF141A"/>
    <w:pPr>
      <w:spacing w:line="276" w:lineRule="atLeast"/>
    </w:pPr>
    <w:rPr>
      <w:rFonts w:cs="Times New Roman"/>
      <w:color w:val="auto"/>
    </w:rPr>
  </w:style>
  <w:style w:type="paragraph" w:customStyle="1" w:styleId="CM49">
    <w:name w:val="CM49"/>
    <w:basedOn w:val="Default"/>
    <w:next w:val="Default"/>
    <w:uiPriority w:val="99"/>
    <w:rsid w:val="00DF141A"/>
    <w:pPr>
      <w:spacing w:line="276" w:lineRule="atLeast"/>
    </w:pPr>
    <w:rPr>
      <w:rFonts w:cs="Times New Roman"/>
      <w:color w:val="auto"/>
    </w:rPr>
  </w:style>
  <w:style w:type="paragraph" w:customStyle="1" w:styleId="CM54">
    <w:name w:val="CM54"/>
    <w:basedOn w:val="Default"/>
    <w:next w:val="Default"/>
    <w:uiPriority w:val="99"/>
    <w:rsid w:val="00DF141A"/>
    <w:pPr>
      <w:spacing w:line="276" w:lineRule="atLeast"/>
    </w:pPr>
    <w:rPr>
      <w:rFonts w:cs="Times New Roman"/>
      <w:color w:val="auto"/>
    </w:rPr>
  </w:style>
  <w:style w:type="paragraph" w:customStyle="1" w:styleId="CM78">
    <w:name w:val="CM78"/>
    <w:basedOn w:val="Default"/>
    <w:next w:val="Default"/>
    <w:uiPriority w:val="99"/>
    <w:rsid w:val="00DF141A"/>
    <w:pPr>
      <w:spacing w:line="276" w:lineRule="atLeast"/>
    </w:pPr>
    <w:rPr>
      <w:rFonts w:cs="Times New Roman"/>
      <w:color w:val="auto"/>
    </w:rPr>
  </w:style>
  <w:style w:type="character" w:customStyle="1" w:styleId="WW8Num30z0">
    <w:name w:val="WW8Num30z0"/>
    <w:rsid w:val="00DF141A"/>
    <w:rPr>
      <w:rFonts w:ascii="Symbol" w:hAnsi="Symbol"/>
    </w:rPr>
  </w:style>
  <w:style w:type="character" w:customStyle="1" w:styleId="WW8Num30z1">
    <w:name w:val="WW8Num30z1"/>
    <w:rsid w:val="00DF141A"/>
    <w:rPr>
      <w:rFonts w:ascii="Courier New" w:hAnsi="Courier New" w:cs="Courier New"/>
    </w:rPr>
  </w:style>
  <w:style w:type="character" w:customStyle="1" w:styleId="WW8Num30z2">
    <w:name w:val="WW8Num30z2"/>
    <w:rsid w:val="00DF141A"/>
    <w:rPr>
      <w:rFonts w:ascii="Wingdings" w:hAnsi="Wingdings"/>
    </w:rPr>
  </w:style>
  <w:style w:type="character" w:customStyle="1" w:styleId="WW8Num32z0">
    <w:name w:val="WW8Num32z0"/>
    <w:rsid w:val="00DF141A"/>
    <w:rPr>
      <w:b/>
    </w:rPr>
  </w:style>
  <w:style w:type="character" w:customStyle="1" w:styleId="WW8Num42z0">
    <w:name w:val="WW8Num42z0"/>
    <w:rsid w:val="00DF141A"/>
    <w:rPr>
      <w:b/>
    </w:rPr>
  </w:style>
  <w:style w:type="character" w:customStyle="1" w:styleId="EndnoteCharacters">
    <w:name w:val="Endnote Characters"/>
    <w:rsid w:val="00DF141A"/>
  </w:style>
  <w:style w:type="character" w:styleId="Strong">
    <w:name w:val="Strong"/>
    <w:basedOn w:val="DefaultParagraphFont"/>
    <w:qFormat/>
    <w:rsid w:val="00DF141A"/>
    <w:rPr>
      <w:b/>
      <w:bCs/>
    </w:rPr>
  </w:style>
  <w:style w:type="table" w:customStyle="1" w:styleId="IntenseReference2">
    <w:name w:val="Intense Reference2"/>
    <w:basedOn w:val="TableNormal"/>
    <w:uiPriority w:val="60"/>
    <w:qFormat/>
    <w:rsid w:val="00DF141A"/>
    <w:pPr>
      <w:spacing w:after="0" w:line="240" w:lineRule="auto"/>
    </w:pPr>
    <w:rPr>
      <w:rFonts w:ascii="Cambria" w:eastAsia="Times New Roman" w:hAnsi="Cambria" w:cs="Times New Roman"/>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2-Accent6">
    <w:name w:val="Medium Grid 2 Accent 6"/>
    <w:basedOn w:val="TableNormal"/>
    <w:uiPriority w:val="60"/>
    <w:rsid w:val="00DF141A"/>
    <w:pPr>
      <w:spacing w:after="0" w:line="240" w:lineRule="auto"/>
    </w:pPr>
    <w:rPr>
      <w:rFonts w:ascii="Cambria" w:eastAsia="Cambria" w:hAnsi="Cambria" w:cs="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2-Accent4">
    <w:name w:val="Medium Shading 2 Accent 4"/>
    <w:basedOn w:val="TableNormal"/>
    <w:uiPriority w:val="70"/>
    <w:rsid w:val="00DF141A"/>
    <w:pPr>
      <w:spacing w:after="0" w:line="240" w:lineRule="auto"/>
    </w:pPr>
    <w:rPr>
      <w:rFonts w:ascii="Cambria" w:eastAsia="Cambria" w:hAnsi="Cambria" w:cs="Times New Roman"/>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MediumGrid1-Accent4">
    <w:name w:val="Medium Grid 1 Accent 4"/>
    <w:basedOn w:val="TableNormal"/>
    <w:uiPriority w:val="73"/>
    <w:rsid w:val="00DF141A"/>
    <w:pPr>
      <w:spacing w:after="0" w:line="240" w:lineRule="auto"/>
    </w:pPr>
    <w:rPr>
      <w:rFonts w:ascii="Cambria" w:eastAsia="Cambria" w:hAnsi="Cambria" w:cs="Times New Roman"/>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Shading1-Accent6">
    <w:name w:val="Medium Shading 1 Accent 6"/>
    <w:basedOn w:val="TableNormal"/>
    <w:uiPriority w:val="69"/>
    <w:rsid w:val="00DF141A"/>
    <w:pPr>
      <w:spacing w:after="0" w:line="240" w:lineRule="auto"/>
    </w:pPr>
    <w:rPr>
      <w:rFonts w:ascii="Cambria" w:eastAsia="Cambria" w:hAnsi="Cambria" w:cs="Times New Roma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paragraph" w:styleId="NoSpacing">
    <w:name w:val="No Spacing"/>
    <w:link w:val="NoSpacingChar"/>
    <w:qFormat/>
    <w:rsid w:val="00DF141A"/>
    <w:pPr>
      <w:spacing w:after="0" w:line="240" w:lineRule="auto"/>
    </w:pPr>
    <w:rPr>
      <w:rFonts w:ascii="PMingLiU" w:eastAsia="Times New Roman" w:hAnsi="PMingLiU" w:cs="Times New Roman"/>
    </w:rPr>
  </w:style>
  <w:style w:type="character" w:customStyle="1" w:styleId="NoSpacingChar">
    <w:name w:val="No Spacing Char"/>
    <w:basedOn w:val="DefaultParagraphFont"/>
    <w:link w:val="NoSpacing"/>
    <w:rsid w:val="00DF141A"/>
    <w:rPr>
      <w:rFonts w:ascii="PMingLiU" w:eastAsia="Times New Roman" w:hAnsi="PMingLiU" w:cs="Times New Roman"/>
    </w:rPr>
  </w:style>
  <w:style w:type="character" w:customStyle="1" w:styleId="CharChar">
    <w:name w:val="Char Char"/>
    <w:aliases w:val="Char Char Char"/>
    <w:basedOn w:val="DefaultParagraphFont"/>
    <w:rsid w:val="00DF141A"/>
    <w:rPr>
      <w:rFonts w:ascii="Arial" w:hAnsi="Arial" w:cs="Arial"/>
      <w:b/>
      <w:bCs/>
      <w:sz w:val="26"/>
      <w:szCs w:val="26"/>
      <w:lang w:val="en-US" w:eastAsia="en-US" w:bidi="ar-SA"/>
    </w:rPr>
  </w:style>
  <w:style w:type="character" w:customStyle="1" w:styleId="CharChar9">
    <w:name w:val="Char Char9"/>
    <w:basedOn w:val="DefaultParagraphFont"/>
    <w:rsid w:val="00DF141A"/>
    <w:rPr>
      <w:rFonts w:ascii="Calibri" w:eastAsia="Calibri" w:hAnsi="Calibri" w:cs="Calibri"/>
      <w:lang w:val="en-US" w:eastAsia="ar-SA" w:bidi="ar-SA"/>
    </w:rPr>
  </w:style>
  <w:style w:type="paragraph" w:customStyle="1" w:styleId="CM1">
    <w:name w:val="CM1"/>
    <w:basedOn w:val="Default"/>
    <w:next w:val="Default"/>
    <w:rsid w:val="00DF141A"/>
    <w:pPr>
      <w:spacing w:line="276" w:lineRule="atLeast"/>
    </w:pPr>
    <w:rPr>
      <w:rFonts w:cs="Times New Roman"/>
      <w:color w:val="auto"/>
    </w:rPr>
  </w:style>
  <w:style w:type="paragraph" w:customStyle="1" w:styleId="CM23">
    <w:name w:val="CM23"/>
    <w:basedOn w:val="Default"/>
    <w:next w:val="Default"/>
    <w:rsid w:val="00DF141A"/>
    <w:pPr>
      <w:spacing w:line="276" w:lineRule="atLeast"/>
    </w:pPr>
    <w:rPr>
      <w:rFonts w:cs="Times New Roman"/>
      <w:color w:val="auto"/>
    </w:rPr>
  </w:style>
  <w:style w:type="paragraph" w:customStyle="1" w:styleId="CM48">
    <w:name w:val="CM48"/>
    <w:basedOn w:val="Default"/>
    <w:next w:val="Default"/>
    <w:rsid w:val="00DF141A"/>
    <w:pPr>
      <w:spacing w:line="276" w:lineRule="atLeast"/>
    </w:pPr>
    <w:rPr>
      <w:rFonts w:cs="Times New Roman"/>
      <w:color w:val="auto"/>
    </w:rPr>
  </w:style>
  <w:style w:type="character" w:customStyle="1" w:styleId="CharChar4">
    <w:name w:val="Char Char4"/>
    <w:basedOn w:val="DefaultParagraphFont"/>
    <w:locked/>
    <w:rsid w:val="00DF141A"/>
    <w:rPr>
      <w:rFonts w:ascii="Arial" w:hAnsi="Arial" w:cs="Arial"/>
      <w:b/>
      <w:bCs/>
      <w:i/>
      <w:iCs/>
      <w:sz w:val="28"/>
      <w:szCs w:val="28"/>
      <w:lang w:val="en-US" w:eastAsia="en-US" w:bidi="ar-SA"/>
    </w:rPr>
  </w:style>
  <w:style w:type="character" w:customStyle="1" w:styleId="CharChar5">
    <w:name w:val="Char Char5"/>
    <w:basedOn w:val="DefaultParagraphFont"/>
    <w:rsid w:val="00DF141A"/>
    <w:rPr>
      <w:rFonts w:ascii="Arial" w:eastAsia="Times New Roman" w:hAnsi="Arial" w:cs="Arial"/>
      <w:b/>
      <w:bCs/>
      <w:i/>
      <w:iCs/>
      <w:sz w:val="28"/>
      <w:szCs w:val="28"/>
    </w:rPr>
  </w:style>
  <w:style w:type="paragraph" w:customStyle="1" w:styleId="LightGrid-Accent31">
    <w:name w:val="Light Grid - Accent 31"/>
    <w:basedOn w:val="Normal"/>
    <w:link w:val="LightGrid-Accent3Char"/>
    <w:qFormat/>
    <w:rsid w:val="00DF141A"/>
    <w:pPr>
      <w:ind w:left="720"/>
      <w:contextualSpacing/>
    </w:pPr>
  </w:style>
  <w:style w:type="character" w:customStyle="1" w:styleId="LightGrid-Accent3Char">
    <w:name w:val="Light Grid - Accent 3 Char"/>
    <w:link w:val="LightGrid-Accent31"/>
    <w:rsid w:val="00DF141A"/>
    <w:rPr>
      <w:rFonts w:ascii="Times New Roman" w:eastAsia="Times New Roman" w:hAnsi="Times New Roman" w:cs="Times New Roman"/>
      <w:sz w:val="24"/>
      <w:szCs w:val="24"/>
    </w:rPr>
  </w:style>
  <w:style w:type="paragraph" w:customStyle="1" w:styleId="LightList-Accent31">
    <w:name w:val="Light List - Accent 31"/>
    <w:rsid w:val="00DF141A"/>
    <w:pPr>
      <w:suppressAutoHyphens/>
      <w:spacing w:after="0" w:line="240" w:lineRule="auto"/>
    </w:pPr>
    <w:rPr>
      <w:rFonts w:ascii="Calibri" w:eastAsia="Calibri" w:hAnsi="Calibri" w:cs="Calibri"/>
      <w:lang w:eastAsia="ar-SA"/>
    </w:rPr>
  </w:style>
  <w:style w:type="table" w:customStyle="1" w:styleId="IntenseReference1">
    <w:name w:val="Intense Reference1"/>
    <w:basedOn w:val="TableNormal"/>
    <w:uiPriority w:val="64"/>
    <w:qFormat/>
    <w:rsid w:val="00DF141A"/>
    <w:pPr>
      <w:spacing w:after="0" w:line="240" w:lineRule="auto"/>
    </w:pPr>
    <w:rPr>
      <w:rFonts w:ascii="Cambria" w:eastAsia="Times New Roman" w:hAnsi="Cambria" w:cs="Times New Roman"/>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70"/>
    <w:rsid w:val="00DF141A"/>
    <w:pPr>
      <w:spacing w:after="0" w:line="240" w:lineRule="auto"/>
    </w:pPr>
    <w:rPr>
      <w:rFonts w:ascii="Cambria" w:eastAsia="Cambria" w:hAnsi="Cambria" w:cs="Times New Roman"/>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ColorfulShading-Accent5">
    <w:name w:val="Colorful Shading Accent 5"/>
    <w:basedOn w:val="TableNormal"/>
    <w:uiPriority w:val="73"/>
    <w:rsid w:val="00DF141A"/>
    <w:pPr>
      <w:spacing w:after="0" w:line="240" w:lineRule="auto"/>
    </w:pPr>
    <w:rPr>
      <w:rFonts w:ascii="Cambria" w:eastAsia="Cambria" w:hAnsi="Cambria" w:cs="Times New Roman"/>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6">
    <w:name w:val="Colorful List Accent 6"/>
    <w:basedOn w:val="TableNormal"/>
    <w:uiPriority w:val="69"/>
    <w:rsid w:val="00DF141A"/>
    <w:pPr>
      <w:spacing w:after="0" w:line="240" w:lineRule="auto"/>
    </w:pPr>
    <w:rPr>
      <w:rFonts w:ascii="Cambria" w:eastAsia="Cambria" w:hAnsi="Cambria" w:cs="Times New Roma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paragraph" w:customStyle="1" w:styleId="MediumGrid21">
    <w:name w:val="Medium Grid 21"/>
    <w:link w:val="MediumGrid2Char"/>
    <w:qFormat/>
    <w:rsid w:val="00DF141A"/>
    <w:pPr>
      <w:spacing w:after="0" w:line="240" w:lineRule="auto"/>
    </w:pPr>
    <w:rPr>
      <w:rFonts w:ascii="PMingLiU" w:eastAsia="Times New Roman" w:hAnsi="PMingLiU" w:cs="Times New Roman"/>
    </w:rPr>
  </w:style>
  <w:style w:type="character" w:customStyle="1" w:styleId="MediumGrid2Char">
    <w:name w:val="Medium Grid 2 Char"/>
    <w:link w:val="MediumGrid21"/>
    <w:rsid w:val="00DF141A"/>
    <w:rPr>
      <w:rFonts w:ascii="PMingLiU" w:eastAsia="Times New Roman" w:hAnsi="PMingLiU" w:cs="Times New Roman"/>
    </w:rPr>
  </w:style>
  <w:style w:type="paragraph" w:styleId="Date">
    <w:name w:val="Date"/>
    <w:basedOn w:val="Normal"/>
    <w:next w:val="Normal"/>
    <w:link w:val="DateChar"/>
    <w:uiPriority w:val="99"/>
    <w:unhideWhenUsed/>
    <w:rsid w:val="00DF141A"/>
    <w:pPr>
      <w:spacing w:after="200" w:line="276" w:lineRule="auto"/>
    </w:pPr>
    <w:rPr>
      <w:rFonts w:ascii="Calibri" w:eastAsia="Malgun Gothic" w:hAnsi="Calibri"/>
      <w:sz w:val="22"/>
      <w:szCs w:val="22"/>
    </w:rPr>
  </w:style>
  <w:style w:type="character" w:customStyle="1" w:styleId="DateChar">
    <w:name w:val="Date Char"/>
    <w:basedOn w:val="DefaultParagraphFont"/>
    <w:link w:val="Date"/>
    <w:uiPriority w:val="99"/>
    <w:rsid w:val="00DF141A"/>
    <w:rPr>
      <w:rFonts w:ascii="Calibri" w:eastAsia="Malgun Gothic" w:hAnsi="Calibri" w:cs="Times New Roman"/>
    </w:rPr>
  </w:style>
  <w:style w:type="character" w:customStyle="1" w:styleId="y9">
    <w:name w:val="y9"/>
    <w:basedOn w:val="DefaultParagraphFont"/>
    <w:rsid w:val="00DF141A"/>
  </w:style>
  <w:style w:type="paragraph" w:styleId="DocumentMap">
    <w:name w:val="Document Map"/>
    <w:basedOn w:val="Normal"/>
    <w:link w:val="DocumentMapChar"/>
    <w:uiPriority w:val="99"/>
    <w:unhideWhenUsed/>
    <w:rsid w:val="00DF141A"/>
    <w:rPr>
      <w:rFonts w:ascii="Tahoma" w:hAnsi="Tahoma" w:cs="Tahoma"/>
      <w:sz w:val="16"/>
      <w:szCs w:val="16"/>
    </w:rPr>
  </w:style>
  <w:style w:type="character" w:customStyle="1" w:styleId="DocumentMapChar">
    <w:name w:val="Document Map Char"/>
    <w:basedOn w:val="DefaultParagraphFont"/>
    <w:link w:val="DocumentMap"/>
    <w:uiPriority w:val="99"/>
    <w:rsid w:val="00DF141A"/>
    <w:rPr>
      <w:rFonts w:ascii="Tahoma" w:eastAsia="Times New Roman" w:hAnsi="Tahoma" w:cs="Tahoma"/>
      <w:sz w:val="16"/>
      <w:szCs w:val="16"/>
    </w:rPr>
  </w:style>
  <w:style w:type="character" w:styleId="PlaceholderText">
    <w:name w:val="Placeholder Text"/>
    <w:uiPriority w:val="99"/>
    <w:rsid w:val="00DF141A"/>
    <w:rPr>
      <w:color w:val="808080"/>
    </w:rPr>
  </w:style>
  <w:style w:type="paragraph" w:customStyle="1" w:styleId="References">
    <w:name w:val="References"/>
    <w:basedOn w:val="Normal"/>
    <w:next w:val="Normal"/>
    <w:rsid w:val="00DF141A"/>
    <w:pPr>
      <w:widowControl w:val="0"/>
      <w:tabs>
        <w:tab w:val="left" w:pos="360"/>
      </w:tabs>
      <w:ind w:left="360" w:hanging="360"/>
    </w:pPr>
    <w:rPr>
      <w:snapToGrid w:val="0"/>
    </w:rPr>
  </w:style>
  <w:style w:type="paragraph" w:styleId="TOCHeading">
    <w:name w:val="TOC Heading"/>
    <w:basedOn w:val="Heading1"/>
    <w:next w:val="Normal"/>
    <w:uiPriority w:val="39"/>
    <w:unhideWhenUsed/>
    <w:qFormat/>
    <w:rsid w:val="00DF141A"/>
    <w:pPr>
      <w:keepLines/>
      <w:spacing w:before="480" w:after="0" w:line="276" w:lineRule="auto"/>
      <w:outlineLvl w:val="9"/>
    </w:pPr>
    <w:rPr>
      <w:rFonts w:ascii="Cambria" w:hAnsi="Cambria" w:cs="Times New Roman"/>
      <w:color w:val="365F91"/>
      <w:kern w:val="24"/>
      <w:sz w:val="28"/>
      <w:szCs w:val="28"/>
      <w:lang w:eastAsia="ja-JP"/>
    </w:rPr>
  </w:style>
  <w:style w:type="character" w:customStyle="1" w:styleId="apple-converted-space">
    <w:name w:val="apple-converted-space"/>
    <w:basedOn w:val="DefaultParagraphFont"/>
    <w:rsid w:val="00DF141A"/>
  </w:style>
  <w:style w:type="character" w:customStyle="1" w:styleId="apple-style-span">
    <w:name w:val="apple-style-span"/>
    <w:rsid w:val="00DF141A"/>
  </w:style>
  <w:style w:type="character" w:customStyle="1" w:styleId="authors">
    <w:name w:val="authors"/>
    <w:basedOn w:val="DefaultParagraphFont"/>
    <w:rsid w:val="00DF141A"/>
  </w:style>
  <w:style w:type="character" w:customStyle="1" w:styleId="CharChar31">
    <w:name w:val="Char Char31"/>
    <w:basedOn w:val="DefaultParagraphFont"/>
    <w:rsid w:val="00DF141A"/>
  </w:style>
  <w:style w:type="table" w:customStyle="1" w:styleId="IntenseReference3">
    <w:name w:val="Intense Reference3"/>
    <w:basedOn w:val="TableNormal"/>
    <w:uiPriority w:val="60"/>
    <w:qFormat/>
    <w:rsid w:val="00DF141A"/>
    <w:pPr>
      <w:spacing w:after="0" w:line="240" w:lineRule="auto"/>
    </w:pPr>
    <w:rPr>
      <w:rFonts w:ascii="Cambria" w:eastAsia="Cambria" w:hAnsi="Cambria" w:cs="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ColorfulGrid-Accent4">
    <w:name w:val="Colorful Grid Accent 4"/>
    <w:basedOn w:val="TableNormal"/>
    <w:uiPriority w:val="70"/>
    <w:rsid w:val="00DF141A"/>
    <w:pPr>
      <w:spacing w:after="0" w:line="240" w:lineRule="auto"/>
    </w:pPr>
    <w:rPr>
      <w:rFonts w:ascii="Cambria" w:eastAsia="Cambria" w:hAnsi="Cambria" w:cs="Times New Roman"/>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LightGrid-Accent5">
    <w:name w:val="Light Grid Accent 5"/>
    <w:basedOn w:val="TableNormal"/>
    <w:uiPriority w:val="73"/>
    <w:rsid w:val="00DF141A"/>
    <w:pPr>
      <w:spacing w:after="0" w:line="240" w:lineRule="auto"/>
    </w:pPr>
    <w:rPr>
      <w:rFonts w:ascii="Cambria" w:eastAsia="Cambria" w:hAnsi="Cambria" w:cs="Times New Roman"/>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customStyle="1" w:styleId="NoSpacing1">
    <w:name w:val="No Spacing1"/>
    <w:qFormat/>
    <w:rsid w:val="00DF141A"/>
    <w:pPr>
      <w:spacing w:after="0" w:line="240" w:lineRule="auto"/>
    </w:pPr>
    <w:rPr>
      <w:rFonts w:ascii="PMingLiU" w:eastAsia="Times New Roman" w:hAnsi="PMingLiU" w:cs="Times New Roman"/>
    </w:rPr>
  </w:style>
  <w:style w:type="paragraph" w:customStyle="1" w:styleId="MediumGrid1-Accent21">
    <w:name w:val="Medium Grid 1 - Accent 21"/>
    <w:basedOn w:val="Normal"/>
    <w:qFormat/>
    <w:rsid w:val="00DF141A"/>
    <w:pPr>
      <w:ind w:left="720"/>
      <w:contextualSpacing/>
    </w:pPr>
  </w:style>
  <w:style w:type="paragraph" w:customStyle="1" w:styleId="MediumList2-Accent21">
    <w:name w:val="Medium List 2 - Accent 21"/>
    <w:rsid w:val="00DF141A"/>
    <w:pPr>
      <w:suppressAutoHyphens/>
      <w:spacing w:after="0" w:line="240" w:lineRule="auto"/>
    </w:pPr>
    <w:rPr>
      <w:rFonts w:ascii="Calibri" w:eastAsia="Calibri" w:hAnsi="Calibri" w:cs="Calibri"/>
      <w:lang w:eastAsia="ar-SA"/>
    </w:rPr>
  </w:style>
  <w:style w:type="paragraph" w:customStyle="1" w:styleId="MediumGrid1-Accent22">
    <w:name w:val="Medium Grid 1 - Accent 22"/>
    <w:basedOn w:val="Normal"/>
    <w:qFormat/>
    <w:rsid w:val="00DF141A"/>
    <w:pPr>
      <w:ind w:left="720"/>
    </w:pPr>
  </w:style>
  <w:style w:type="paragraph" w:customStyle="1" w:styleId="ColorfulList-Accent11">
    <w:name w:val="Colorful List - Accent 11"/>
    <w:basedOn w:val="Normal"/>
    <w:qFormat/>
    <w:rsid w:val="00DF141A"/>
    <w:pPr>
      <w:ind w:left="720"/>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wmf"/><Relationship Id="rId18" Type="http://schemas.openxmlformats.org/officeDocument/2006/relationships/image" Target="media/image14.wmf"/><Relationship Id="rId26" Type="http://schemas.openxmlformats.org/officeDocument/2006/relationships/image" Target="media/image22.wmf"/><Relationship Id="rId39" Type="http://schemas.openxmlformats.org/officeDocument/2006/relationships/hyperlink" Target="http://www.fao.org/geonetwork/srv/en/main.home" TargetMode="External"/><Relationship Id="rId3" Type="http://schemas.openxmlformats.org/officeDocument/2006/relationships/settings" Target="settings.xml"/><Relationship Id="rId21" Type="http://schemas.openxmlformats.org/officeDocument/2006/relationships/image" Target="media/image17.wmf"/><Relationship Id="rId34" Type="http://schemas.openxmlformats.org/officeDocument/2006/relationships/image" Target="media/image29.jpeg"/><Relationship Id="rId42" Type="http://schemas.openxmlformats.org/officeDocument/2006/relationships/image" Target="media/image34.wmf"/><Relationship Id="rId47" Type="http://schemas.openxmlformats.org/officeDocument/2006/relationships/hyperlink" Target="http://www.adb.org/Documents/Guidelines/Eco_Analysis/discount_%20rate.asp" TargetMode="External"/><Relationship Id="rId50"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wmf"/><Relationship Id="rId17" Type="http://schemas.openxmlformats.org/officeDocument/2006/relationships/image" Target="media/image13.wmf"/><Relationship Id="rId25" Type="http://schemas.openxmlformats.org/officeDocument/2006/relationships/image" Target="media/image21.wmf"/><Relationship Id="rId33" Type="http://schemas.openxmlformats.org/officeDocument/2006/relationships/oleObject" Target="embeddings/oleObject1.bin"/><Relationship Id="rId38" Type="http://schemas.openxmlformats.org/officeDocument/2006/relationships/hyperlink" Target="http://www.ipcc-nggip.iges.or.jp/public/2006gl/vol4.html" TargetMode="External"/><Relationship Id="rId46" Type="http://schemas.openxmlformats.org/officeDocument/2006/relationships/hyperlink" Target="http://invest.ecoinformatics.org" TargetMode="External"/><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image" Target="media/image16.wmf"/><Relationship Id="rId29" Type="http://schemas.openxmlformats.org/officeDocument/2006/relationships/image" Target="media/image25.wmf"/><Relationship Id="rId41" Type="http://schemas.openxmlformats.org/officeDocument/2006/relationships/image" Target="media/image33.w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wmf"/><Relationship Id="rId24" Type="http://schemas.openxmlformats.org/officeDocument/2006/relationships/image" Target="media/image20.wmf"/><Relationship Id="rId32" Type="http://schemas.openxmlformats.org/officeDocument/2006/relationships/image" Target="media/image28.wmf"/><Relationship Id="rId37" Type="http://schemas.openxmlformats.org/officeDocument/2006/relationships/image" Target="media/image32.jpeg"/><Relationship Id="rId40" Type="http://schemas.openxmlformats.org/officeDocument/2006/relationships/hyperlink" Target="http://ncasi.uml.edu/COLE/" TargetMode="External"/><Relationship Id="rId45" Type="http://schemas.openxmlformats.org/officeDocument/2006/relationships/hyperlink" Target="http://www.ngdc.noaa.gov/seg/cdroms/ged_iia/datasets/a06/lh.htm" TargetMode="External"/><Relationship Id="rId5" Type="http://schemas.openxmlformats.org/officeDocument/2006/relationships/image" Target="media/image1.png"/><Relationship Id="rId15" Type="http://schemas.openxmlformats.org/officeDocument/2006/relationships/image" Target="media/image11.wmf"/><Relationship Id="rId23" Type="http://schemas.openxmlformats.org/officeDocument/2006/relationships/image" Target="media/image19.wmf"/><Relationship Id="rId28" Type="http://schemas.openxmlformats.org/officeDocument/2006/relationships/image" Target="media/image24.wmf"/><Relationship Id="rId36" Type="http://schemas.openxmlformats.org/officeDocument/2006/relationships/image" Target="media/image31.jpeg"/><Relationship Id="rId49" Type="http://schemas.openxmlformats.org/officeDocument/2006/relationships/hyperlink" Target="http://www.springerlink.com/content/2l672741l7366751/fulltext.pdf" TargetMode="External"/><Relationship Id="rId10" Type="http://schemas.openxmlformats.org/officeDocument/2006/relationships/image" Target="media/image6.wmf"/><Relationship Id="rId19" Type="http://schemas.openxmlformats.org/officeDocument/2006/relationships/image" Target="media/image15.wmf"/><Relationship Id="rId31" Type="http://schemas.openxmlformats.org/officeDocument/2006/relationships/image" Target="media/image27.wmf"/><Relationship Id="rId44" Type="http://schemas.openxmlformats.org/officeDocument/2006/relationships/image" Target="media/image36.wmf"/><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wmf"/><Relationship Id="rId22" Type="http://schemas.openxmlformats.org/officeDocument/2006/relationships/image" Target="media/image18.wmf"/><Relationship Id="rId27" Type="http://schemas.openxmlformats.org/officeDocument/2006/relationships/image" Target="media/image23.wmf"/><Relationship Id="rId30" Type="http://schemas.openxmlformats.org/officeDocument/2006/relationships/image" Target="media/image26.wmf"/><Relationship Id="rId35" Type="http://schemas.openxmlformats.org/officeDocument/2006/relationships/image" Target="media/image30.jpeg"/><Relationship Id="rId43" Type="http://schemas.openxmlformats.org/officeDocument/2006/relationships/image" Target="media/image35.wmf"/><Relationship Id="rId48" Type="http://schemas.openxmlformats.org/officeDocument/2006/relationships/hyperlink" Target="http://www.ipcc-nggip.iges.or.jp/public/2006gl/%20vol4.html" TargetMode="External"/><Relationship Id="rId8" Type="http://schemas.openxmlformats.org/officeDocument/2006/relationships/image" Target="media/image4.w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12228</Words>
  <Characters>69703</Characters>
  <Application>Microsoft Office Word</Application>
  <DocSecurity>0</DocSecurity>
  <Lines>580</Lines>
  <Paragraphs>163</Paragraphs>
  <ScaleCrop>false</ScaleCrop>
  <Company/>
  <LinksUpToDate>false</LinksUpToDate>
  <CharactersWithSpaces>81768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rsharp</dc:creator>
  <cp:lastModifiedBy>rsharp</cp:lastModifiedBy>
  <cp:revision>1</cp:revision>
  <dcterms:created xsi:type="dcterms:W3CDTF">2011-05-06T21:28:00Z</dcterms:created>
  <dcterms:modified xsi:type="dcterms:W3CDTF">2011-05-06T21:28:00Z</dcterms:modified>
</cp:coreProperties>
</file>