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80D" w:rsidRPr="005C1CA2" w:rsidRDefault="0004680D" w:rsidP="0004680D">
      <w:pPr>
        <w:pStyle w:val="Heading1"/>
        <w:jc w:val="center"/>
        <w:rPr>
          <w:rFonts w:ascii="Perpetua Titling MT" w:hAnsi="Perpetua Titling MT"/>
          <w:sz w:val="48"/>
          <w:szCs w:val="48"/>
        </w:rPr>
      </w:pPr>
      <w:bookmarkStart w:id="0" w:name="_Toc158980625"/>
      <w:r w:rsidRPr="005C1CA2">
        <w:rPr>
          <w:rFonts w:ascii="Perpetua Titling MT" w:hAnsi="Perpetua Titling MT"/>
          <w:sz w:val="48"/>
          <w:szCs w:val="48"/>
        </w:rPr>
        <w:t>Crop Pollination</w:t>
      </w:r>
      <w:bookmarkEnd w:id="0"/>
    </w:p>
    <w:p w:rsidR="0004680D" w:rsidRDefault="0004680D" w:rsidP="0004680D"/>
    <w:p w:rsidR="0004680D" w:rsidRDefault="0004680D" w:rsidP="0004680D"/>
    <w:p w:rsidR="0004680D" w:rsidRDefault="0004680D" w:rsidP="0004680D"/>
    <w:p w:rsidR="0004680D" w:rsidRPr="00263B7B" w:rsidRDefault="0004680D" w:rsidP="0004680D">
      <w:pPr>
        <w:ind w:hanging="187"/>
        <w:rPr>
          <w:rFonts w:ascii="Cambria" w:hAnsi="Cambria"/>
          <w:b/>
          <w:bCs/>
          <w:i/>
          <w:iCs/>
          <w:sz w:val="28"/>
          <w:szCs w:val="28"/>
        </w:rPr>
      </w:pPr>
      <w:r w:rsidRPr="00263B7B">
        <w:rPr>
          <w:rFonts w:ascii="Cambria" w:hAnsi="Cambria"/>
          <w:b/>
          <w:bCs/>
          <w:i/>
          <w:iCs/>
          <w:sz w:val="28"/>
          <w:szCs w:val="28"/>
        </w:rPr>
        <w:t>Summary</w:t>
      </w:r>
    </w:p>
    <w:p w:rsidR="0004680D" w:rsidRPr="001D0D71" w:rsidRDefault="0004680D" w:rsidP="0004680D">
      <w:pPr>
        <w:pStyle w:val="NormalWeb"/>
        <w:spacing w:before="0" w:beforeAutospacing="0" w:after="0" w:afterAutospacing="0"/>
        <w:jc w:val="both"/>
        <w:rPr>
          <w:i/>
        </w:rPr>
      </w:pPr>
      <w:r>
        <w:rPr>
          <w:noProof/>
        </w:rPr>
        <w:drawing>
          <wp:anchor distT="0" distB="0" distL="114300" distR="114300" simplePos="0" relativeHeight="251660288" behindDoc="1" locked="0" layoutInCell="1" allowOverlap="1">
            <wp:simplePos x="0" y="0"/>
            <wp:positionH relativeFrom="column">
              <wp:posOffset>4163060</wp:posOffset>
            </wp:positionH>
            <wp:positionV relativeFrom="paragraph">
              <wp:posOffset>15240</wp:posOffset>
            </wp:positionV>
            <wp:extent cx="1869440" cy="2400300"/>
            <wp:effectExtent l="50800" t="50800" r="35560" b="12700"/>
            <wp:wrapTight wrapText="bothSides">
              <wp:wrapPolygon edited="0">
                <wp:start x="-587" y="-457"/>
                <wp:lineTo x="-587" y="21714"/>
                <wp:lineTo x="22011" y="21714"/>
                <wp:lineTo x="22011" y="-457"/>
                <wp:lineTo x="-587" y="-457"/>
              </wp:wrapPolygon>
            </wp:wrapTight>
            <wp:docPr id="1171" name="Picture 1171" descr="http://upload.wikimedia.org/wikipedia/commons/1/12/Bee_on_almond_f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71" descr="http://upload.wikimedia.org/wikipedia/commons/1/12/Bee_on_almond_flower.jpg"/>
                    <pic:cNvPicPr>
                      <a:picLocks noChangeAspect="1" noChangeArrowheads="1"/>
                    </pic:cNvPicPr>
                  </pic:nvPicPr>
                  <pic:blipFill>
                    <a:blip r:embed="rId5" r:link="rId6" cstate="print"/>
                    <a:srcRect l="15359" r="28320"/>
                    <a:stretch>
                      <a:fillRect/>
                    </a:stretch>
                  </pic:blipFill>
                  <pic:spPr bwMode="auto">
                    <a:xfrm>
                      <a:off x="0" y="0"/>
                      <a:ext cx="1869440" cy="2400300"/>
                    </a:xfrm>
                    <a:prstGeom prst="rect">
                      <a:avLst/>
                    </a:prstGeom>
                    <a:noFill/>
                    <a:ln w="38100">
                      <a:solidFill>
                        <a:srgbClr val="FFFFFF"/>
                      </a:solidFill>
                      <a:miter lim="800000"/>
                      <a:headEnd/>
                      <a:tailEnd/>
                    </a:ln>
                  </pic:spPr>
                </pic:pic>
              </a:graphicData>
            </a:graphic>
          </wp:anchor>
        </w:drawing>
      </w:r>
      <w:r w:rsidRPr="001D0D71">
        <w:rPr>
          <w:i/>
        </w:rPr>
        <w:t xml:space="preserve">Seventy-five percent of globally important crops </w:t>
      </w:r>
      <w:r>
        <w:rPr>
          <w:i/>
        </w:rPr>
        <w:t>rely either in part or completely on animal</w:t>
      </w:r>
      <w:r w:rsidRPr="001D0D71">
        <w:rPr>
          <w:i/>
        </w:rPr>
        <w:t xml:space="preserve"> pollinat</w:t>
      </w:r>
      <w:r>
        <w:rPr>
          <w:i/>
        </w:rPr>
        <w:t xml:space="preserve">ion. </w:t>
      </w:r>
      <w:r w:rsidRPr="001D0D71">
        <w:rPr>
          <w:i/>
        </w:rPr>
        <w:t xml:space="preserve">The InVEST pollination model focuses on </w:t>
      </w:r>
      <w:r>
        <w:rPr>
          <w:i/>
        </w:rPr>
        <w:t xml:space="preserve">wild </w:t>
      </w:r>
      <w:r w:rsidRPr="001D0D71">
        <w:rPr>
          <w:i/>
        </w:rPr>
        <w:t>bees as a key animal pollinator</w:t>
      </w:r>
      <w:r>
        <w:rPr>
          <w:i/>
        </w:rPr>
        <w:t xml:space="preserve">. It </w:t>
      </w:r>
      <w:r w:rsidRPr="001D0D71">
        <w:rPr>
          <w:i/>
        </w:rPr>
        <w:t xml:space="preserve">uses </w:t>
      </w:r>
      <w:r>
        <w:rPr>
          <w:i/>
        </w:rPr>
        <w:t xml:space="preserve">estimates of the availability of </w:t>
      </w:r>
      <w:r w:rsidRPr="001D0D71">
        <w:rPr>
          <w:i/>
        </w:rPr>
        <w:t>nest site</w:t>
      </w:r>
      <w:r>
        <w:rPr>
          <w:i/>
        </w:rPr>
        <w:t>s</w:t>
      </w:r>
      <w:r w:rsidRPr="001D0D71">
        <w:rPr>
          <w:i/>
        </w:rPr>
        <w:t xml:space="preserve"> </w:t>
      </w:r>
      <w:r>
        <w:rPr>
          <w:i/>
        </w:rPr>
        <w:t>and floral resources</w:t>
      </w:r>
      <w:r w:rsidRPr="001D0D71">
        <w:rPr>
          <w:i/>
        </w:rPr>
        <w:t xml:space="preserve"> and bee flight ranges to </w:t>
      </w:r>
      <w:r>
        <w:rPr>
          <w:i/>
        </w:rPr>
        <w:t>derive an index of</w:t>
      </w:r>
      <w:r w:rsidRPr="001D0D71">
        <w:rPr>
          <w:i/>
        </w:rPr>
        <w:t xml:space="preserve"> </w:t>
      </w:r>
      <w:r w:rsidRPr="00B8550F">
        <w:rPr>
          <w:i/>
        </w:rPr>
        <w:t>bee abundance</w:t>
      </w:r>
      <w:r w:rsidRPr="001D0D71">
        <w:rPr>
          <w:i/>
        </w:rPr>
        <w:t xml:space="preserve"> </w:t>
      </w:r>
      <w:r>
        <w:rPr>
          <w:i/>
        </w:rPr>
        <w:t xml:space="preserve">nesting on each cell on a landscape (i.e., pollinator supply). It then uses flight range information to estimate an index of bee abundance visiting each agricultural cell.  If desired, the model then calculates a simple index of the value of these bees to agricultural production, and attributes this value back to source cells. </w:t>
      </w:r>
      <w:r w:rsidRPr="001D0D71">
        <w:rPr>
          <w:i/>
        </w:rPr>
        <w:t>The results can be used to optimize agriculture and conservation investments.</w:t>
      </w:r>
      <w:r>
        <w:rPr>
          <w:i/>
        </w:rPr>
        <w:t xml:space="preserve"> </w:t>
      </w:r>
      <w:r w:rsidRPr="001D0D71">
        <w:rPr>
          <w:i/>
        </w:rPr>
        <w:t xml:space="preserve">Required inputs include </w:t>
      </w:r>
      <w:r>
        <w:rPr>
          <w:i/>
        </w:rPr>
        <w:t xml:space="preserve">a </w:t>
      </w:r>
      <w:r w:rsidRPr="001D0D71">
        <w:rPr>
          <w:i/>
        </w:rPr>
        <w:t>current land use and land cover map,</w:t>
      </w:r>
      <w:r w:rsidRPr="00206C92">
        <w:rPr>
          <w:i/>
        </w:rPr>
        <w:t xml:space="preserve"> </w:t>
      </w:r>
      <w:r>
        <w:rPr>
          <w:i/>
        </w:rPr>
        <w:t xml:space="preserve">land cover attributes, </w:t>
      </w:r>
      <w:r w:rsidRPr="001D0D71">
        <w:rPr>
          <w:i/>
        </w:rPr>
        <w:t xml:space="preserve">species of pollinators present, </w:t>
      </w:r>
      <w:r>
        <w:rPr>
          <w:i/>
        </w:rPr>
        <w:t xml:space="preserve">and their flight ranges. </w:t>
      </w:r>
      <w:r w:rsidRPr="001D0D71">
        <w:rPr>
          <w:i/>
        </w:rPr>
        <w:t>The model’s limitations include exclusion of non-farm habitats that may determine pollinator abundance and of the effects of land parcel size.</w:t>
      </w:r>
      <w:r>
        <w:rPr>
          <w:i/>
        </w:rPr>
        <w:t xml:space="preserve"> </w:t>
      </w:r>
      <w:r w:rsidRPr="001D0D71">
        <w:rPr>
          <w:i/>
        </w:rPr>
        <w:t xml:space="preserve">The model also does not account for managed pollinators and pollinator </w:t>
      </w:r>
      <w:r>
        <w:rPr>
          <w:i/>
        </w:rPr>
        <w:t>persiste</w:t>
      </w:r>
      <w:r w:rsidRPr="001D0D71">
        <w:rPr>
          <w:i/>
        </w:rPr>
        <w:t xml:space="preserve">nce over time.  </w:t>
      </w:r>
    </w:p>
    <w:p w:rsidR="0004680D" w:rsidRPr="00A40D5E" w:rsidRDefault="0004680D" w:rsidP="0004680D">
      <w:pPr>
        <w:ind w:firstLine="720"/>
        <w:jc w:val="both"/>
      </w:pPr>
      <w:r w:rsidRPr="00A40D5E">
        <w:rPr>
          <w:i/>
        </w:rPr>
        <w:t xml:space="preserve">  </w:t>
      </w:r>
    </w:p>
    <w:p w:rsidR="0004680D" w:rsidRDefault="0004680D" w:rsidP="0004680D">
      <w:pPr>
        <w:pStyle w:val="Heading2"/>
        <w:ind w:left="-270"/>
        <w:jc w:val="both"/>
        <w:rPr>
          <w:rFonts w:ascii="Cambria" w:hAnsi="Cambria"/>
        </w:rPr>
      </w:pPr>
    </w:p>
    <w:p w:rsidR="0004680D" w:rsidRPr="00E804C4" w:rsidRDefault="0004680D" w:rsidP="0004680D">
      <w:pPr>
        <w:pStyle w:val="Heading2"/>
        <w:ind w:left="-270"/>
        <w:jc w:val="both"/>
        <w:rPr>
          <w:rFonts w:ascii="Cambria" w:hAnsi="Cambria"/>
        </w:rPr>
      </w:pPr>
      <w:bookmarkStart w:id="1" w:name="_Toc158980626"/>
      <w:r w:rsidRPr="00E804C4">
        <w:rPr>
          <w:rFonts w:ascii="Cambria" w:hAnsi="Cambria"/>
        </w:rPr>
        <w:t>Introduction</w:t>
      </w:r>
      <w:bookmarkEnd w:id="1"/>
    </w:p>
    <w:p w:rsidR="0004680D" w:rsidRDefault="0004680D" w:rsidP="0004680D">
      <w:pPr>
        <w:jc w:val="both"/>
      </w:pPr>
    </w:p>
    <w:p w:rsidR="0004680D" w:rsidRPr="00E46BEB" w:rsidRDefault="0004680D" w:rsidP="0004680D">
      <w:pPr>
        <w:jc w:val="both"/>
      </w:pPr>
      <w:r>
        <w:t xml:space="preserve">Crop pollination by bees and other animals is a potentially valuable ecosystem service in many landscapes of mixed agricultural and natural habitats </w:t>
      </w:r>
      <w:r>
        <w:fldChar w:fldCharType="begin"/>
      </w:r>
      <w:r>
        <w:instrText xml:space="preserve"> ADDIN EN.CITE &lt;EndNote&gt;&lt;Cite&gt;&lt;Author&gt;Free&lt;/Author&gt;&lt;Year&gt;1993&lt;/Year&gt;&lt;RecNum&gt;654&lt;/RecNum&gt;&lt;record&gt;&lt;rec-number&gt;654&lt;/rec-number&gt;&lt;ref-type name="Book"&gt;6&lt;/ref-type&gt;&lt;contributors&gt;&lt;authors&gt;&lt;author&gt;Free, John B.&lt;/author&gt;&lt;/authors&gt;&lt;/contributors&gt;&lt;titles&gt;&lt;title&gt;Insect pollination of crops&lt;/title&gt;&lt;/titles&gt;&lt;edition&gt;2nd&lt;/edition&gt;&lt;dates&gt;&lt;year&gt;1993&lt;/year&gt;&lt;/dates&gt;&lt;pub-location&gt;London&lt;/pub-location&gt;&lt;publisher&gt;Academic Press&lt;/publisher&gt;&lt;urls&gt;&lt;/urls&gt;&lt;/record&gt;&lt;/Cite&gt;&lt;Cite&gt;&lt;Author&gt;Allen-Wardell&lt;/Author&gt;&lt;Year&gt;1998&lt;/Year&gt;&lt;RecNum&gt;657&lt;/RecNum&gt;&lt;record&gt;&lt;rec-number&gt;657&lt;/rec-number&gt;&lt;ref-type name="Journal Article"&gt;17&lt;/ref-type&gt;&lt;contributors&gt;&lt;authors&gt;&lt;author&gt;Allen-Wardell, G.&lt;/author&gt;&lt;author&gt;Bernhardt, P.&lt;/author&gt;&lt;author&gt;Bitner, R.&lt;/author&gt;&lt;author&gt;Burquez, A.&lt;/author&gt;&lt;author&gt;Buchmann, S.&lt;/author&gt;&lt;author&gt;Cane, J.&lt;/author&gt;&lt;author&gt;Cox, P. A.&lt;/author&gt;&lt;author&gt;Dalton, V.&lt;/author&gt;&lt;author&gt;Feinsinger, P.&lt;/author&gt;&lt;author&gt;Ingram, M.&lt;/author&gt;&lt;author&gt;Inouye, D.&lt;/author&gt;&lt;author&gt;Jones, C. E.&lt;/author&gt;&lt;author&gt;Kennedy, K.&lt;/author&gt;&lt;author&gt;Kevan, P.&lt;/author&gt;&lt;author&gt;Koopowitz, H.&lt;/author&gt;&lt;/authors&gt;&lt;/contributors&gt;&lt;titles&gt;&lt;title&gt;The potential consequences of pollinator declines on the conservation of biodiversity and stability of food crop yields&lt;/title&gt;&lt;secondary-title&gt;Conservation Biology&lt;/secondary-title&gt;&lt;/titles&gt;&lt;pages&gt;8-17&lt;/pages&gt;&lt;volume&gt;12&lt;/volume&gt;&lt;number&gt;1&lt;/number&gt;&lt;keywords&gt;&lt;keyword&gt;Literature review&lt;/keyword&gt;&lt;keyword&gt;Invertebrates&lt;/keyword&gt;&lt;keyword&gt;Honey bees&lt;/keyword&gt;&lt;keyword&gt;Plants&lt;/keyword&gt;&lt;keyword&gt;Pollinator&lt;/keyword&gt;&lt;keyword&gt;Crop&lt;/keyword&gt;&lt;keyword&gt;Food crop yield&lt;/keyword&gt;&lt;keyword&gt;Biodiversity&lt;/keyword&gt;&lt;keyword&gt;Conservation&lt;/keyword&gt;&lt;keyword&gt;Habitat management&lt;/keyword&gt;&lt;keyword&gt;Habitat fragmentation&lt;/keyword&gt;&lt;keyword&gt;Pesticides&lt;/keyword&gt;&lt;keyword&gt;Herbicides&lt;/keyword&gt;&lt;keyword&gt;Nearctic region&lt;/keyword&gt;&lt;keyword&gt;Usa&lt;/keyword&gt;&lt;keyword&gt;Mexico&lt;/keyword&gt;&lt;keyword&gt;Canada&lt;/keyword&gt;&lt;keyword&gt;North america&lt;/keyword&gt;&lt;keyword&gt;General Biology -- Conservation, Resource Management (CC00512)&lt;/keyword&gt;&lt;keyword&gt;Ecology&lt;/keyword&gt;&lt;keyword&gt;Environmental Biology -- General&lt;/keyword&gt;&lt;keyword&gt;Methods (CC07502)&lt;/keyword&gt;&lt;keyword&gt;Invertebrata, Comparative and Experimental Morphology, Physiology and Pathology -- Insecta-General (CC64072)&lt;/keyword&gt;&lt;keyword&gt;Plantae-Unspecified (BC11000)&lt;/keyword&gt;&lt;keyword&gt;Invertebrata-Unspecified (BC34000)&lt;/keyword&gt;&lt;keyword&gt;Hymenoptera (BC75326)&lt;/keyword&gt;&lt;keyword&gt;Animals&lt;/keyword&gt;&lt;keyword&gt;Arthropods&lt;/keyword&gt;&lt;keyword&gt;Insects&lt;/keyword&gt;&lt;/keywords&gt;&lt;dates&gt;&lt;year&gt;1998&lt;/year&gt;&lt;/dates&gt;&lt;urls&gt;&lt;/urls&gt;&lt;/record&gt;&lt;/Cite&gt;&lt;/EndNote&gt;</w:instrText>
      </w:r>
      <w:r>
        <w:fldChar w:fldCharType="separate"/>
      </w:r>
      <w:r>
        <w:t xml:space="preserve">(Allen-Wardell </w:t>
      </w:r>
      <w:r w:rsidRPr="003320C9">
        <w:rPr>
          <w:i/>
        </w:rPr>
        <w:t>et al</w:t>
      </w:r>
      <w:r>
        <w:t>. 1998, Free 1993)</w:t>
      </w:r>
      <w:r>
        <w:fldChar w:fldCharType="end"/>
      </w:r>
      <w:r>
        <w:t xml:space="preserve">.  Pollination can increase the yield, quality, and stability of fruit and seed crops as diverse as tomato, canola, watermelon, coffee, sunflower, almond, and cacao. Indeed, Klein </w:t>
      </w:r>
      <w:r w:rsidRPr="006731C7">
        <w:rPr>
          <w:i/>
        </w:rPr>
        <w:t>et al</w:t>
      </w:r>
      <w:r>
        <w:t xml:space="preserve">. </w:t>
      </w:r>
      <w:r>
        <w:fldChar w:fldCharType="begin"/>
      </w:r>
      <w:r>
        <w:instrText xml:space="preserve"> ADDIN EN.CITE &lt;EndNote&gt;&lt;Cite ExcludeAuth="1"&gt;&lt;Year&gt;2007&lt;/Year&gt;&lt;RecNum&gt;2169&lt;/RecNum&gt;&lt;record&gt;&lt;rec-number&gt;2169&lt;/rec-number&gt;&lt;ref-type name="Journal Article"&gt;17&lt;/ref-type&gt;&lt;contributors&gt;&lt;authors&gt;&lt;author&gt;Klein, A. M.&lt;/author&gt;&lt;author&gt;Vaissiere, B. E.&lt;/author&gt;&lt;author&gt;Cane, J. H.&lt;/author&gt;&lt;author&gt;Steffan-Dewenter, I.&lt;/author&gt;&lt;author&gt;Cunningham, S. A.&lt;/author&gt;&lt;author&gt;Kremen, C.&lt;/author&gt;&lt;author&gt;Tscharntke, T.&lt;/author&gt;&lt;/authors&gt;&lt;/contributors&gt;&lt;titles&gt;&lt;title&gt;Importance of pollinators in changing landscapes for world crops&lt;/title&gt;&lt;secondary-title&gt;Proceedings of the Royal Society B-Biological Sciences&lt;/secondary-title&gt;&lt;/titles&gt;&lt;pages&gt;303-313&lt;/pages&gt;&lt;volume&gt;274&lt;/volume&gt;&lt;number&gt;1608&lt;/number&gt;&lt;keywords&gt;&lt;keyword&gt;agriculture&lt;/keyword&gt;&lt;keyword&gt;conservation&lt;/keyword&gt;&lt;keyword&gt;pollination&lt;/keyword&gt;&lt;keyword&gt;biodiversity&lt;/keyword&gt;&lt;keyword&gt;spatial ecology&lt;/keyword&gt;&lt;keyword&gt;wild bees&lt;/keyword&gt;&lt;keyword&gt;UNITED-STATES CROPS&lt;/keyword&gt;&lt;keyword&gt;POLLEN LIMITATION&lt;/keyword&gt;&lt;keyword&gt;HONEY-BEES&lt;/keyword&gt;&lt;keyword&gt;WILD BEES&lt;/keyword&gt;&lt;keyword&gt;AGRICULTURAL INTENSIFICATION&lt;/keyword&gt;&lt;keyword&gt;HABITAT FRAGMENTATION&lt;/keyword&gt;&lt;keyword&gt;PLANT&lt;/keyword&gt;&lt;keyword&gt;REPRODUCTION&lt;/keyword&gt;&lt;keyword&gt;EUROPEAN COMMUNITY&lt;/keyword&gt;&lt;keyword&gt;ECOSYSTEM SERVICE&lt;/keyword&gt;&lt;keyword&gt;MACADAMIA FLOWERS&lt;/keyword&gt;&lt;/keywords&gt;&lt;dates&gt;&lt;year&gt;2007&lt;/year&gt;&lt;pub-dates&gt;&lt;date&gt;Feb&lt;/date&gt;&lt;/pub-dates&gt;&lt;/dates&gt;&lt;isbn&gt;0962-8452&lt;/isbn&gt;&lt;accession-num&gt;ISI:000243354100001&lt;/accession-num&gt;&lt;urls&gt;&lt;related-urls&gt;&lt;url&gt;&amp;lt;Go to ISI&amp;gt;://000243354100001 &lt;/url&gt;&lt;/related-urls&gt;&lt;/urls&gt;&lt;/record&gt;&lt;/Cite&gt;&lt;/EndNote&gt;</w:instrText>
      </w:r>
      <w:r>
        <w:fldChar w:fldCharType="separate"/>
      </w:r>
      <w:r>
        <w:t>(2007)</w:t>
      </w:r>
      <w:r>
        <w:fldChar w:fldCharType="end"/>
      </w:r>
      <w:r>
        <w:t xml:space="preserve"> found that 87 of 115 globally important crops benefit from animal pollination, a service valued variously in the billions to tens of billions per year globally </w:t>
      </w:r>
      <w:r>
        <w:fldChar w:fldCharType="begin"/>
      </w:r>
      <w:r>
        <w:instrText xml:space="preserve"> ADDIN EN.CITE &lt;EndNote&gt;&lt;Cite&gt;&lt;Author&gt;Costanza&lt;/Author&gt;&lt;Year&gt;1997&lt;/Year&gt;&lt;RecNum&gt;900&lt;/RecNum&gt;&lt;record&gt;&lt;rec-number&gt;900&lt;/rec-number&gt;&lt;ref-type name="Journal Article"&gt;17&lt;/ref-type&gt;&lt;contributors&gt;&lt;authors&gt;&lt;author&gt;Costanza, R.&lt;/author&gt;&lt;author&gt;d&amp;apos;Arge, R.&lt;/author&gt;&lt;author&gt;de Groot, R.&lt;/author&gt;&lt;author&gt;Farber, S.&lt;/author&gt;&lt;author&gt;Grasso, M.&lt;/author&gt;&lt;author&gt;Hannon, B.&lt;/author&gt;&lt;author&gt;Limburg, K.&lt;/author&gt;&lt;author&gt;Naeem, S.&lt;/author&gt;&lt;author&gt;O&amp;apos;Neill, R.V.&lt;/author&gt;&lt;author&gt;Paruelo, J.&lt;/author&gt;&lt;author&gt;Raskin, R.G.&lt;/author&gt;&lt;author&gt;Sutton, P.&lt;/author&gt;&lt;author&gt;van den Belt, M.&lt;/author&gt;&lt;/authors&gt;&lt;/contributors&gt;&lt;titles&gt;&lt;title&gt;The value of the world&amp;apos;s ecosystem services and natural capital&lt;/title&gt;&lt;secondary-title&gt;Nature&lt;/secondary-title&gt;&lt;/titles&gt;&lt;pages&gt;253-260&lt;/pages&gt;&lt;volume&gt;387&lt;/volume&gt;&lt;number&gt;6630&lt;/number&gt;&lt;dates&gt;&lt;year&gt;1997&lt;/year&gt;&lt;/dates&gt;&lt;urls&gt;&lt;/urls&gt;&lt;/record&gt;&lt;/Cite&gt;&lt;Cite&gt;&lt;Author&gt;Nabhan&lt;/Author&gt;&lt;Year&gt;1997&lt;/Year&gt;&lt;RecNum&gt;904&lt;/RecNum&gt;&lt;record&gt;&lt;rec-number&gt;904&lt;/rec-number&gt;&lt;ref-type name="Book Section"&gt;5&lt;/ref-type&gt;&lt;contributors&gt;&lt;authors&gt;&lt;author&gt;Nabhan, G.P.&lt;/author&gt;&lt;author&gt;Buchmann, S.L.&lt;/author&gt;&lt;/authors&gt;&lt;secondary-authors&gt;&lt;author&gt;Daily, G.C.&lt;/author&gt;&lt;/secondary-authors&gt;&lt;/contributors&gt;&lt;titles&gt;&lt;title&gt;Services provided by pollinators&lt;/title&gt;&lt;secondary-title&gt;Nature&amp;apos;s services&lt;/secondary-title&gt;&lt;/titles&gt;&lt;pages&gt;133-150&lt;/pages&gt;&lt;dates&gt;&lt;year&gt;1997&lt;/year&gt;&lt;/dates&gt;&lt;pub-location&gt;Washington, D.C&lt;/pub-location&gt;&lt;publisher&gt;Island Press&lt;/publisher&gt;&lt;urls&gt;&lt;/urls&gt;&lt;/record&gt;&lt;/Cite&gt;&lt;Cite&gt;&lt;Author&gt;Southwick&lt;/Author&gt;&lt;Year&gt;1992&lt;/Year&gt;&lt;RecNum&gt;1083&lt;/RecNum&gt;&lt;record&gt;&lt;rec-number&gt;1083&lt;/rec-number&gt;&lt;ref-type name="Journal Article"&gt;17&lt;/ref-type&gt;&lt;contributors&gt;&lt;authors&gt;&lt;author&gt;Southwick, E. E.&lt;/author&gt;&lt;author&gt;Southwick, L.&lt;/author&gt;&lt;/authors&gt;&lt;/contributors&gt;&lt;titles&gt;&lt;title&gt;Estimating the economic value of honey-bees (Hymenoptera ; Apidae) as agricultural pollinators in the United States&lt;/title&gt;&lt;secondary-title&gt;Journal of Economic Entomology&lt;/secondary-title&gt;&lt;/titles&gt;&lt;pages&gt;621-633&lt;/pages&gt;&lt;volume&gt;85&lt;/volume&gt;&lt;number&gt;3&lt;/number&gt;&lt;dates&gt;&lt;year&gt;1992&lt;/year&gt;&lt;/dates&gt;&lt;urls&gt;&lt;/urls&gt;&lt;/record&gt;&lt;/Cite&gt;&lt;Cite&gt;&lt;Author&gt;Losey&lt;/Author&gt;&lt;Year&gt;2006&lt;/Year&gt;&lt;RecNum&gt;2224&lt;/RecNum&gt;&lt;record&gt;&lt;rec-number&gt;2224&lt;/rec-number&gt;&lt;ref-type name="Journal Article"&gt;17&lt;/ref-type&gt;&lt;contributors&gt;&lt;authors&gt;&lt;author&gt;Losey, J. E.&lt;/author&gt;&lt;author&gt;Vaughan, M.&lt;/author&gt;&lt;/authors&gt;&lt;/contributors&gt;&lt;titles&gt;&lt;title&gt;The economic value of ecological services provided by insects&lt;/title&gt;&lt;secondary-title&gt;Bioscience&lt;/secondary-title&gt;&lt;/titles&gt;&lt;periodical&gt;&lt;full-title&gt;Bioscience&lt;/full-title&gt;&lt;/periodical&gt;&lt;pages&gt;311-323&lt;/pages&gt;&lt;volume&gt;56&lt;/volume&gt;&lt;number&gt;4&lt;/number&gt;&lt;dates&gt;&lt;year&gt;2006&lt;/year&gt;&lt;pub-dates&gt;&lt;date&gt;Apr&lt;/date&gt;&lt;/pub-dates&gt;&lt;/dates&gt;&lt;isbn&gt;0006-3568&lt;/isbn&gt;&lt;accession-num&gt;ISI:000236750500011&lt;/accession-num&gt;&lt;urls&gt;&lt;related-urls&gt;&lt;url&gt;&amp;lt;Go to ISI&amp;gt;://000236750500011 &lt;/url&gt;&lt;/related-urls&gt;&lt;/urls&gt;&lt;/record&gt;&lt;/Cite&gt;&lt;/EndNote&gt;</w:instrText>
      </w:r>
      <w:r>
        <w:fldChar w:fldCharType="separate"/>
      </w:r>
      <w:r>
        <w:t xml:space="preserve">(Costanza </w:t>
      </w:r>
      <w:r w:rsidRPr="006A74EB">
        <w:rPr>
          <w:i/>
        </w:rPr>
        <w:t>et al</w:t>
      </w:r>
      <w:r>
        <w:t>. 1997, Losey and Vaughan 2006, Nabhan and Buchmann 1997, Southwick and Southwick 1992)</w:t>
      </w:r>
      <w:r>
        <w:fldChar w:fldCharType="end"/>
      </w:r>
      <w:r>
        <w:t>.</w:t>
      </w:r>
    </w:p>
    <w:p w:rsidR="0004680D" w:rsidRDefault="0004680D" w:rsidP="0004680D">
      <w:pPr>
        <w:pStyle w:val="NormalWeb"/>
        <w:spacing w:before="0" w:beforeAutospacing="0" w:after="0" w:afterAutospacing="0"/>
        <w:jc w:val="both"/>
        <w:rPr>
          <w:bCs/>
        </w:rPr>
      </w:pPr>
    </w:p>
    <w:p w:rsidR="0004680D" w:rsidRDefault="0004680D" w:rsidP="0004680D">
      <w:pPr>
        <w:pStyle w:val="NormalWeb"/>
        <w:spacing w:before="0" w:beforeAutospacing="0" w:after="0" w:afterAutospacing="0"/>
        <w:jc w:val="both"/>
        <w:rPr>
          <w:bCs/>
        </w:rPr>
      </w:pPr>
      <w:r>
        <w:rPr>
          <w:bCs/>
        </w:rPr>
        <w:t xml:space="preserve">Despite these numbers, it is important to realize that not all crops need animal pollination. Some crop plants are wind (e.g., staple grains such as rice, corn, wheat) or self pollinated (e.g., lentils and other beans), needing no animal pollinators to successfully produce fruits or seeds. Klein </w:t>
      </w:r>
      <w:r w:rsidRPr="006A74EB">
        <w:rPr>
          <w:bCs/>
          <w:i/>
        </w:rPr>
        <w:t>et al</w:t>
      </w:r>
      <w:r>
        <w:rPr>
          <w:bCs/>
        </w:rPr>
        <w:t xml:space="preserve">. </w:t>
      </w:r>
      <w:r>
        <w:rPr>
          <w:bCs/>
        </w:rPr>
        <w:fldChar w:fldCharType="begin"/>
      </w:r>
      <w:r>
        <w:rPr>
          <w:bCs/>
        </w:rPr>
        <w:instrText xml:space="preserve"> ADDIN EN.CITE &lt;EndNote&gt;&lt;Cite ExcludeAuth="1"&gt;&lt;Year&gt;2007&lt;/Year&gt;&lt;RecNum&gt;2169&lt;/RecNum&gt;&lt;record&gt;&lt;rec-number&gt;2169&lt;/rec-number&gt;&lt;ref-type name="Journal Article"&gt;17&lt;/ref-type&gt;&lt;contributors&gt;&lt;authors&gt;&lt;author&gt;Klein, A. M.&lt;/author&gt;&lt;author&gt;Vaissiere, B. E.&lt;/author&gt;&lt;author&gt;Cane, J. H.&lt;/author&gt;&lt;author&gt;Steffan-Dewenter, I.&lt;/author&gt;&lt;author&gt;Cunningham, S. A.&lt;/author&gt;&lt;author&gt;Kremen, C.&lt;/author&gt;&lt;author&gt;Tscharntke, T.&lt;/author&gt;&lt;/authors&gt;&lt;/contributors&gt;&lt;titles&gt;&lt;title&gt;Importance of pollinators in changing landscapes for world crops&lt;/title&gt;&lt;secondary-title&gt;Proceedings of the Royal Society B-Biological Sciences&lt;/secondary-title&gt;&lt;/titles&gt;&lt;pages&gt;303-313&lt;/pages&gt;&lt;volume&gt;274&lt;/volume&gt;&lt;number&gt;1608&lt;/number&gt;&lt;keywords&gt;&lt;keyword&gt;agriculture&lt;/keyword&gt;&lt;keyword&gt;conservation&lt;/keyword&gt;&lt;keyword&gt;pollination&lt;/keyword&gt;&lt;keyword&gt;biodiversity&lt;/keyword&gt;&lt;keyword&gt;spatial ecology&lt;/keyword&gt;&lt;keyword&gt;wild bees&lt;/keyword&gt;&lt;keyword&gt;UNITED-STATES CROPS&lt;/keyword&gt;&lt;keyword&gt;POLLEN LIMITATION&lt;/keyword&gt;&lt;keyword&gt;HONEY-BEES&lt;/keyword&gt;&lt;keyword&gt;WILD BEES&lt;/keyword&gt;&lt;keyword&gt;AGRICULTURAL INTENSIFICATION&lt;/keyword&gt;&lt;keyword&gt;HABITAT FRAGMENTATION&lt;/keyword&gt;&lt;keyword&gt;PLANT&lt;/keyword&gt;&lt;keyword&gt;REPRODUCTION&lt;/keyword&gt;&lt;keyword&gt;EUROPEAN COMMUNITY&lt;/keyword&gt;&lt;keyword&gt;ECOSYSTEM SERVICE&lt;/keyword&gt;&lt;keyword&gt;MACADAMIA FLOWERS&lt;/keyword&gt;&lt;/keywords&gt;&lt;dates&gt;&lt;year&gt;2007&lt;/year&gt;&lt;pub-dates&gt;&lt;date&gt;Feb&lt;/date&gt;&lt;/pub-dates&gt;&lt;/dates&gt;&lt;isbn&gt;0962-8452&lt;/isbn&gt;&lt;accession-num&gt;ISI:000243354100001&lt;/accession-num&gt;&lt;urls&gt;&lt;related-urls&gt;&lt;url&gt;&amp;lt;Go to ISI&amp;gt;://000243354100001 &lt;/url&gt;&lt;/related-urls&gt;&lt;/urls&gt;&lt;/record&gt;&lt;/Cite&gt;&lt;/EndNote&gt;</w:instrText>
      </w:r>
      <w:r>
        <w:rPr>
          <w:bCs/>
        </w:rPr>
        <w:fldChar w:fldCharType="separate"/>
      </w:r>
      <w:r>
        <w:rPr>
          <w:bCs/>
        </w:rPr>
        <w:t>(2007)</w:t>
      </w:r>
      <w:r>
        <w:rPr>
          <w:bCs/>
        </w:rPr>
        <w:fldChar w:fldCharType="end"/>
      </w:r>
      <w:r>
        <w:rPr>
          <w:bCs/>
        </w:rPr>
        <w:t xml:space="preserve"> provides a list of crops and their pollination requirements that can help identify whether crops in a region of interest may benefit from wild animal pollinators. </w:t>
      </w:r>
    </w:p>
    <w:p w:rsidR="0004680D" w:rsidRDefault="0004680D" w:rsidP="0004680D">
      <w:pPr>
        <w:pStyle w:val="NormalWeb"/>
        <w:spacing w:before="0" w:beforeAutospacing="0" w:after="0" w:afterAutospacing="0"/>
        <w:jc w:val="both"/>
        <w:rPr>
          <w:bCs/>
        </w:rPr>
      </w:pPr>
    </w:p>
    <w:p w:rsidR="0004680D" w:rsidRDefault="0004680D" w:rsidP="0004680D">
      <w:pPr>
        <w:pStyle w:val="NormalWeb"/>
        <w:spacing w:before="0" w:beforeAutospacing="0" w:after="0" w:afterAutospacing="0"/>
        <w:jc w:val="both"/>
      </w:pPr>
      <w:r>
        <w:t xml:space="preserve">Decision-makers can use information on crop pollinators, their abundance across a landscape, and the pollination services they provide to crops in several ways. First, with maps of pollinator </w:t>
      </w:r>
      <w:r>
        <w:lastRenderedPageBreak/>
        <w:t xml:space="preserve">abundance and crops that need them, land use planners could predict consequences of different policies on pollination services and income to farmers (for an example, see </w:t>
      </w:r>
      <w:r>
        <w:fldChar w:fldCharType="begin"/>
      </w:r>
      <w:r>
        <w:instrText xml:space="preserve"> ADDIN EN.CITE &lt;EndNote&gt;&lt;Cite&gt;&lt;Author&gt;Priess&lt;/Author&gt;&lt;Year&gt;2007&lt;/Year&gt;&lt;RecNum&gt;2186&lt;/RecNum&gt;&lt;record&gt;&lt;rec-number&gt;2186&lt;/rec-number&gt;&lt;ref-type name="Journal Article"&gt;17&lt;/ref-type&gt;&lt;contributors&gt;&lt;authors&gt;&lt;author&gt;Priess, J. A.&lt;/author&gt;&lt;author&gt;Mimler, M.&lt;/author&gt;&lt;author&gt;Klein, A. M.&lt;/author&gt;&lt;author&gt;Schwarze, S.&lt;/author&gt;&lt;author&gt;Tscharntke, T.&lt;/author&gt;&lt;author&gt;Steffan-Dewenter, I.&lt;/author&gt;&lt;/authors&gt;&lt;/contributors&gt;&lt;titles&gt;&lt;title&gt;Linking deforestation scenarios to pollination services and economic returns in coffee agroforestry systems&lt;/title&gt;&lt;secondary-title&gt;Ecological Applications&lt;/secondary-title&gt;&lt;/titles&gt;&lt;periodical&gt;&lt;full-title&gt;Ecological Applications&lt;/full-title&gt;&lt;/periodical&gt;&lt;pages&gt;407-417&lt;/pages&gt;&lt;volume&gt;17&lt;/volume&gt;&lt;number&gt;2&lt;/number&gt;&lt;keywords&gt;&lt;keyword&gt;bee diversity&lt;/keyword&gt;&lt;keyword&gt;Coffea arabica L.&lt;/keyword&gt;&lt;keyword&gt;crop yield&lt;/keyword&gt;&lt;keyword&gt;ecosystem service&lt;/keyword&gt;&lt;keyword&gt;forest&lt;/keyword&gt;&lt;keyword&gt;margin areas&lt;/keyword&gt;&lt;keyword&gt;land use and land cover change (LUCC) model&lt;/keyword&gt;&lt;keyword&gt;net&lt;/keyword&gt;&lt;keyword&gt;revenues&lt;/keyword&gt;&lt;keyword&gt;policy scenario&lt;/keyword&gt;&lt;keyword&gt;rain forest&lt;/keyword&gt;&lt;keyword&gt;spatial modeling&lt;/keyword&gt;&lt;keyword&gt;LAND-USE CHANGE&lt;/keyword&gt;&lt;keyword&gt;ECOSYSTEM SERVICES&lt;/keyword&gt;&lt;keyword&gt;CROP POLLINATION&lt;/keyword&gt;&lt;keyword&gt;AGRICULTURAL&lt;/keyword&gt;&lt;keyword&gt;INTENSIFICATION&lt;/keyword&gt;&lt;keyword&gt;TROPICAL DEFORESTATION&lt;/keyword&gt;&lt;keyword&gt;FRUIT-SET&lt;/keyword&gt;&lt;keyword&gt;CONSERVATION&lt;/keyword&gt;&lt;keyword&gt;FOREST&lt;/keyword&gt;&lt;keyword&gt;BEES&lt;/keyword&gt;&lt;keyword&gt;BIODIVERSITY&lt;/keyword&gt;&lt;/keywords&gt;&lt;dates&gt;&lt;year&gt;2007&lt;/year&gt;&lt;pub-dates&gt;&lt;date&gt;Mar&lt;/date&gt;&lt;/pub-dates&gt;&lt;/dates&gt;&lt;isbn&gt;1051-0761&lt;/isbn&gt;&lt;accession-num&gt;ISI:000245744200010&lt;/accession-num&gt;&lt;work-type&gt;Article&lt;/work-type&gt;&lt;urls&gt;&lt;related-urls&gt;&lt;url&gt;&amp;lt;Go to ISI&amp;gt;://000245744200010 &lt;/url&gt;&lt;/related-urls&gt;&lt;/urls&gt;&lt;/record&gt;&lt;/Cite&gt;&lt;/EndNote&gt;</w:instrText>
      </w:r>
      <w:r>
        <w:fldChar w:fldCharType="separate"/>
      </w:r>
      <w:r>
        <w:t xml:space="preserve">Priess </w:t>
      </w:r>
      <w:r w:rsidRPr="003320C9">
        <w:rPr>
          <w:i/>
        </w:rPr>
        <w:t>et al</w:t>
      </w:r>
      <w:r>
        <w:t>. 2007)</w:t>
      </w:r>
      <w:r>
        <w:fldChar w:fldCharType="end"/>
      </w:r>
      <w:r>
        <w:t xml:space="preserve">.  Second, farmers could use these maps to locate crops intelligently, given their pollination requirements and predictions of pollinator availability. Third, conservation organizations or land trusts could use the tool to optimize conservation investments that benefit both biodiversity and farmers. Finally, governments or others proposing payment schemes for ecosystem services could use the results to estimate who should pay whom, and how much. </w:t>
      </w:r>
    </w:p>
    <w:p w:rsidR="0004680D" w:rsidRDefault="0004680D" w:rsidP="0004680D">
      <w:pPr>
        <w:pStyle w:val="NormalWeb"/>
        <w:spacing w:before="0" w:beforeAutospacing="0" w:after="0" w:afterAutospacing="0"/>
        <w:jc w:val="both"/>
        <w:rPr>
          <w:bCs/>
        </w:rPr>
      </w:pPr>
    </w:p>
    <w:p w:rsidR="0004680D" w:rsidRDefault="0004680D" w:rsidP="0004680D">
      <w:pPr>
        <w:pStyle w:val="NormalWeb"/>
        <w:spacing w:before="0" w:beforeAutospacing="0" w:after="0" w:afterAutospacing="0"/>
        <w:jc w:val="both"/>
        <w:rPr>
          <w:bCs/>
        </w:rPr>
      </w:pPr>
    </w:p>
    <w:p w:rsidR="0004680D" w:rsidRDefault="0004680D" w:rsidP="0004680D">
      <w:pPr>
        <w:pStyle w:val="Heading2"/>
        <w:ind w:left="-270"/>
        <w:jc w:val="both"/>
        <w:rPr>
          <w:rFonts w:ascii="Cambria" w:hAnsi="Cambria"/>
        </w:rPr>
      </w:pPr>
      <w:bookmarkStart w:id="2" w:name="_Toc158980627"/>
      <w:r>
        <w:rPr>
          <w:rFonts w:ascii="Cambria" w:hAnsi="Cambria"/>
        </w:rPr>
        <w:t>The M</w:t>
      </w:r>
      <w:r w:rsidRPr="00E804C4">
        <w:rPr>
          <w:rFonts w:ascii="Cambria" w:hAnsi="Cambria"/>
        </w:rPr>
        <w:t>odel</w:t>
      </w:r>
      <w:bookmarkEnd w:id="2"/>
    </w:p>
    <w:p w:rsidR="0004680D" w:rsidRPr="00107651" w:rsidRDefault="0004680D" w:rsidP="0004680D"/>
    <w:p w:rsidR="0004680D" w:rsidRDefault="0004680D" w:rsidP="0004680D">
      <w:pPr>
        <w:pStyle w:val="NormalWeb"/>
        <w:spacing w:before="0" w:beforeAutospacing="0" w:after="0" w:afterAutospacing="0"/>
        <w:jc w:val="both"/>
        <w:rPr>
          <w:bCs/>
        </w:rPr>
      </w:pPr>
      <w:r>
        <w:rPr>
          <w:bCs/>
        </w:rPr>
        <w:t xml:space="preserve">A wide range of animals can be important pollinators (e.g., birds, bats, moths and flies), but bees are the most important group for most crops </w:t>
      </w:r>
      <w:r>
        <w:rPr>
          <w:bCs/>
        </w:rPr>
        <w:fldChar w:fldCharType="begin"/>
      </w:r>
      <w:r>
        <w:rPr>
          <w:bCs/>
        </w:rPr>
        <w:instrText xml:space="preserve"> ADDIN EN.CITE &lt;EndNote&gt;&lt;Cite&gt;&lt;Author&gt;Free&lt;/Author&gt;&lt;Year&gt;1993&lt;/Year&gt;&lt;RecNum&gt;654&lt;/RecNum&gt;&lt;record&gt;&lt;rec-number&gt;654&lt;/rec-number&gt;&lt;ref-type name="Book"&gt;6&lt;/ref-type&gt;&lt;contributors&gt;&lt;authors&gt;&lt;author&gt;Free, John B.&lt;/author&gt;&lt;/authors&gt;&lt;/contributors&gt;&lt;titles&gt;&lt;title&gt;Insect pollination of crops&lt;/title&gt;&lt;/titles&gt;&lt;edition&gt;2nd&lt;/edition&gt;&lt;dates&gt;&lt;year&gt;1993&lt;/year&gt;&lt;/dates&gt;&lt;pub-location&gt;London&lt;/pub-location&gt;&lt;publisher&gt;Academic Press&lt;/publisher&gt;&lt;urls&gt;&lt;/urls&gt;&lt;/record&gt;&lt;/Cite&gt;&lt;/EndNote&gt;</w:instrText>
      </w:r>
      <w:r>
        <w:rPr>
          <w:bCs/>
        </w:rPr>
        <w:fldChar w:fldCharType="separate"/>
      </w:r>
      <w:r>
        <w:rPr>
          <w:bCs/>
        </w:rPr>
        <w:t>(Free 1993)</w:t>
      </w:r>
      <w:r>
        <w:rPr>
          <w:bCs/>
        </w:rPr>
        <w:fldChar w:fldCharType="end"/>
      </w:r>
      <w:r>
        <w:rPr>
          <w:bCs/>
        </w:rPr>
        <w:t xml:space="preserve">. As a result, the InVEST Pollination model focuses on the resource needs and flight behaviors of wild bees. Many people think of honeybees, managed in artificial hives, when they think of pollinators, but wild bees also contribute to crop pollination. In fact, for several important crops (e.g., blueberries), native species are more efficient and effective pollinators than honeybees </w:t>
      </w:r>
      <w:r>
        <w:rPr>
          <w:bCs/>
        </w:rPr>
        <w:fldChar w:fldCharType="begin"/>
      </w:r>
      <w:r>
        <w:rPr>
          <w:bCs/>
        </w:rPr>
        <w:instrText xml:space="preserve"> ADDIN EN.CITE &lt;EndNote&gt;&lt;Cite&gt;&lt;Author&gt;Cane&lt;/Author&gt;&lt;Year&gt;1997&lt;/Year&gt;&lt;RecNum&gt;1088&lt;/RecNum&gt;&lt;record&gt;&lt;rec-number&gt;1088&lt;/rec-number&gt;&lt;ref-type name="Journal Article"&gt;17&lt;/ref-type&gt;&lt;contributors&gt;&lt;authors&gt;&lt;author&gt;Cane, J.H.&lt;/author&gt;&lt;/authors&gt;&lt;/contributors&gt;&lt;titles&gt;&lt;title&gt;Lifetime monetary value of individual pollinators: the bee habropoda laboriosa at rabbiteye blueberry (vaccinium ashei reade)&lt;/title&gt;&lt;secondary-title&gt;Acta Horticulturae&lt;/secondary-title&gt;&lt;/titles&gt;&lt;pages&gt;67-70&lt;/pages&gt;&lt;volume&gt;446&lt;/volume&gt;&lt;dates&gt;&lt;year&gt;1997&lt;/year&gt;&lt;/dates&gt;&lt;urls&gt;&lt;/urls&gt;&lt;/record&gt;&lt;/Cite&gt;&lt;/EndNote&gt;</w:instrText>
      </w:r>
      <w:r>
        <w:rPr>
          <w:bCs/>
        </w:rPr>
        <w:fldChar w:fldCharType="separate"/>
      </w:r>
      <w:r>
        <w:rPr>
          <w:bCs/>
        </w:rPr>
        <w:t>(Cane 1997)</w:t>
      </w:r>
      <w:r>
        <w:rPr>
          <w:bCs/>
        </w:rPr>
        <w:fldChar w:fldCharType="end"/>
      </w:r>
      <w:r>
        <w:rPr>
          <w:bCs/>
        </w:rPr>
        <w:t>. These native bees, in addition to feral honeybees living in the wild, can benefit crops without active management of captive hives. This is the pollination service associated with habitat conservation.</w:t>
      </w:r>
    </w:p>
    <w:p w:rsidR="0004680D" w:rsidRDefault="0004680D" w:rsidP="0004680D">
      <w:pPr>
        <w:pStyle w:val="NormalWeb"/>
        <w:jc w:val="both"/>
      </w:pPr>
      <w:r w:rsidRPr="00EC4361">
        <w:rPr>
          <w:bCs/>
        </w:rPr>
        <w:t xml:space="preserve">For bees to persist on a landscape, they need two things: suitable places to nest, and sufficient food (provided by flowers) near their nesting sites. If provided these resources, pollinators are available to fly to nearby crops and pollinate them as they collect nectar and pollen. The model therefore </w:t>
      </w:r>
      <w:r w:rsidRPr="00EC4361">
        <w:t xml:space="preserve">uses information on the availability of nesting sites and flower resources, as well as flight ranges of bees, to map an index of bee abundance across the landscape. </w:t>
      </w:r>
      <w:r>
        <w:t xml:space="preserve">In a </w:t>
      </w:r>
      <w:r w:rsidRPr="00EC4361">
        <w:t xml:space="preserve">second step, the model uses this map and bee flight ranges again to predict an index of the number of pollinators likely visiting crops in each </w:t>
      </w:r>
      <w:r>
        <w:t>agricultural cell on the landscape</w:t>
      </w:r>
      <w:r w:rsidRPr="00EC4361">
        <w:t>.</w:t>
      </w:r>
      <w:r>
        <w:t xml:space="preserve">  If you opt to also estimate value indices, the model then takes a third and fourth step.  In the third step, it uses a simplified yield function to translate bee abundance into crop value on each agricultural cell.  And in the fourth step, it attributes these cell values back to cells “supplying” these bees.  These steps are laid out in more detail below, and the full model description can be found in Lonsdorf </w:t>
      </w:r>
      <w:r w:rsidRPr="00024A86">
        <w:rPr>
          <w:i/>
        </w:rPr>
        <w:t>et al.</w:t>
      </w:r>
      <w:r>
        <w:t xml:space="preserve"> (in press).</w:t>
      </w:r>
    </w:p>
    <w:p w:rsidR="0004680D" w:rsidRPr="00E804C4" w:rsidRDefault="0004680D" w:rsidP="0004680D">
      <w:pPr>
        <w:pStyle w:val="Heading3"/>
        <w:jc w:val="both"/>
        <w:rPr>
          <w:rFonts w:ascii="Cambria" w:hAnsi="Cambria"/>
        </w:rPr>
      </w:pPr>
      <w:bookmarkStart w:id="3" w:name="_Toc158980628"/>
      <w:r w:rsidRPr="00E804C4">
        <w:rPr>
          <w:rFonts w:ascii="Cambria" w:hAnsi="Cambria"/>
        </w:rPr>
        <w:t xml:space="preserve">How </w:t>
      </w:r>
      <w:r>
        <w:rPr>
          <w:rFonts w:ascii="Cambria" w:hAnsi="Cambria"/>
        </w:rPr>
        <w:t>it</w:t>
      </w:r>
      <w:r w:rsidRPr="00E804C4">
        <w:rPr>
          <w:rFonts w:ascii="Cambria" w:hAnsi="Cambria"/>
        </w:rPr>
        <w:t xml:space="preserve"> works</w:t>
      </w:r>
      <w:bookmarkEnd w:id="3"/>
      <w:r w:rsidRPr="00E804C4">
        <w:rPr>
          <w:rFonts w:ascii="Cambria" w:hAnsi="Cambria"/>
        </w:rPr>
        <w:t xml:space="preserve"> </w:t>
      </w:r>
    </w:p>
    <w:p w:rsidR="0004680D" w:rsidRPr="00473530" w:rsidRDefault="0004680D" w:rsidP="0004680D">
      <w:pPr>
        <w:jc w:val="both"/>
        <w:rPr>
          <w:i/>
        </w:rPr>
      </w:pPr>
      <w:r>
        <w:t xml:space="preserve">The model is based on a land use and land cover (LULC) map, showing both natural and managed land types. This map is divided into a regular grid of square cells, each of which is assigned a single LULC type. For each type, the model requires estimates of both </w:t>
      </w:r>
      <w:r w:rsidRPr="008F68C7">
        <w:rPr>
          <w:bCs/>
        </w:rPr>
        <w:t>nesting site availability</w:t>
      </w:r>
      <w:r>
        <w:t xml:space="preserve"> and </w:t>
      </w:r>
      <w:r w:rsidRPr="008F68C7">
        <w:rPr>
          <w:bCs/>
        </w:rPr>
        <w:t>flower availability</w:t>
      </w:r>
      <w:r>
        <w:t xml:space="preserve"> (e.g., for bee food: nectar and pollen). These data can be supplied from quantitative field estimates or from expert opinion, and are expressed in the form of </w:t>
      </w:r>
      <w:r w:rsidRPr="00793537">
        <w:rPr>
          <w:i/>
        </w:rPr>
        <w:t>relative indices</w:t>
      </w:r>
      <w:r>
        <w:t xml:space="preserve"> (between 0 and 1). Flower availability can be supplied separately for different seasons if important, and the availability of nesting substrates can be estimated separately for multiple nesting guilds (e.g., ground nesters, cavity nesters).</w:t>
      </w:r>
    </w:p>
    <w:p w:rsidR="0004680D" w:rsidRDefault="0004680D" w:rsidP="0004680D">
      <w:pPr>
        <w:pStyle w:val="NormalWeb"/>
        <w:jc w:val="both"/>
      </w:pPr>
      <w:r>
        <w:t xml:space="preserve">Because bees are proficient flyers, they integrate over several elements of a landscape, moving between nesting habitats and foraging habitats </w:t>
      </w:r>
      <w:r>
        <w:fldChar w:fldCharType="begin"/>
      </w:r>
      <w:r>
        <w:instrText xml:space="preserve"> ADDIN EN.CITE &lt;EndNote&gt;&lt;Cite&gt;&lt;Author&gt;Ricketts&lt;/Author&gt;&lt;Year&gt;2006&lt;/Year&gt;&lt;RecNum&gt;2076&lt;/RecNum&gt;&lt;record&gt;&lt;rec-number&gt;2076&lt;/rec-number&gt;&lt;ref-type name="Book Section"&gt;5&lt;/ref-type&gt;&lt;contributors&gt;&lt;authors&gt;&lt;author&gt;Ricketts, T.H.&lt;/author&gt;&lt;author&gt;Williams, N. M.&lt;/author&gt;&lt;author&gt;Mayfield, M. M.&lt;/author&gt;&lt;/authors&gt;&lt;secondary-authors&gt;&lt;author&gt;Sanjayan, M.&lt;/author&gt;&lt;author&gt;Crooks, K.&lt;/author&gt;&lt;/secondary-authors&gt;&lt;/contributors&gt;&lt;titles&gt;&lt;title&gt;Connectivity and ecosystem services: crop pollination in agricultural landscapes&lt;/title&gt;&lt;secondary-title&gt;Connectivity for Conservation&lt;/secondary-title&gt;&lt;/titles&gt;&lt;pages&gt;255-289&lt;/pages&gt;&lt;dates&gt;&lt;year&gt;2006&lt;/year&gt;&lt;/dates&gt;&lt;pub-location&gt;Cambridge, UK&lt;/pub-location&gt;&lt;publisher&gt;Cambridge University Press&lt;/publisher&gt;&lt;urls&gt;&lt;/urls&gt;&lt;/record&gt;&lt;/Cite&gt;&lt;/EndNote&gt;</w:instrText>
      </w:r>
      <w:r>
        <w:fldChar w:fldCharType="separate"/>
      </w:r>
      <w:r>
        <w:t>(Ricketts</w:t>
      </w:r>
      <w:r w:rsidRPr="006A74EB">
        <w:rPr>
          <w:i/>
        </w:rPr>
        <w:t xml:space="preserve"> et al</w:t>
      </w:r>
      <w:r>
        <w:t>. 2006)</w:t>
      </w:r>
      <w:r>
        <w:fldChar w:fldCharType="end"/>
      </w:r>
      <w:r>
        <w:t xml:space="preserve">. The </w:t>
      </w:r>
      <w:r w:rsidRPr="00793537">
        <w:rPr>
          <w:i/>
        </w:rPr>
        <w:t>distances</w:t>
      </w:r>
      <w:r>
        <w:t xml:space="preserve"> they typically </w:t>
      </w:r>
      <w:r>
        <w:lastRenderedPageBreak/>
        <w:t xml:space="preserve">fly affect both their persistence and the level of service they deliver to farms. The model therefore requires a typical foraging distance for each pollinator species. These data can be supplied from quantitative field estimates </w:t>
      </w:r>
      <w:r>
        <w:fldChar w:fldCharType="begin"/>
      </w:r>
      <w:r>
        <w:instrText xml:space="preserve"> ADDIN EN.CITE &lt;EndNote&gt;&lt;Cite&gt;&lt;Author&gt;Roubik&lt;/Author&gt;&lt;Year&gt;1983&lt;/Year&gt;&lt;RecNum&gt;1473&lt;/RecNum&gt;&lt;Prefix&gt;e.g., &lt;/Prefix&gt;&lt;record&gt;&lt;rec-number&gt;1473&lt;/rec-number&gt;&lt;ref-type name="Journal Article"&gt;17&lt;/ref-type&gt;&lt;contributors&gt;&lt;authors&gt;&lt;author&gt;Roubik, D. W.&lt;/author&gt;&lt;author&gt;Aluja, M.&lt;/author&gt;&lt;/authors&gt;&lt;/contributors&gt;&lt;titles&gt;&lt;title&gt;&lt;style face="normal" font="default" size="100%"&gt;Flight ranges of &lt;/style&gt;&lt;style face="italic" font="default" size="100%"&gt;Melipona &lt;/style&gt;&lt;style face="normal" font="default" size="100%"&gt;and &lt;/style&gt;&lt;style face="italic" font="default" size="100%"&gt;Trigona &lt;/style&gt;&lt;style face="normal" font="default" size="100%"&gt;in tropical forest&lt;/style&gt;&lt;/title&gt;&lt;secondary-title&gt;Journal of the Kansas Entomological Society&lt;/secondary-title&gt;&lt;/titles&gt;&lt;pages&gt;217-222&lt;/pages&gt;&lt;volume&gt;56&lt;/volume&gt;&lt;number&gt;2&lt;/number&gt;&lt;dates&gt;&lt;year&gt;1983&lt;/year&gt;&lt;/dates&gt;&lt;urls&gt;&lt;/urls&gt;&lt;/record&gt;&lt;/Cite&gt;&lt;/EndNote&gt;</w:instrText>
      </w:r>
      <w:r>
        <w:fldChar w:fldCharType="separate"/>
      </w:r>
      <w:r>
        <w:t>(e.g., Roubik and Aluja 1983)</w:t>
      </w:r>
      <w:r>
        <w:fldChar w:fldCharType="end"/>
      </w:r>
      <w:r>
        <w:t xml:space="preserve">, proxies such as body size </w:t>
      </w:r>
      <w:r>
        <w:fldChar w:fldCharType="begin"/>
      </w:r>
      <w:r>
        <w:instrText xml:space="preserve"> ADDIN EN.CITE &lt;EndNote&gt;&lt;Cite&gt;&lt;Author&gt;Greenleaf&lt;/Author&gt;&lt;Year&gt;2007&lt;/Year&gt;&lt;RecNum&gt;2215&lt;/RecNum&gt;&lt;record&gt;&lt;rec-number&gt;2215&lt;/rec-number&gt;&lt;ref-type name="Journal Article"&gt;17&lt;/ref-type&gt;&lt;contributors&gt;&lt;authors&gt;&lt;author&gt;Greenleaf, S. S.&lt;/author&gt;&lt;author&gt;Williams, N. M.&lt;/author&gt;&lt;author&gt;Winfree, R.&lt;/author&gt;&lt;author&gt;Kremen, C.&lt;/author&gt;&lt;/authors&gt;&lt;/contributors&gt;&lt;titles&gt;&lt;title&gt;Bee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accession-num&gt;ISI:000248812000010&lt;/accession-num&gt;&lt;urls&gt;&lt;/urls&gt;&lt;/record&gt;&lt;/Cite&gt;&lt;/EndNote&gt;</w:instrText>
      </w:r>
      <w:r>
        <w:fldChar w:fldCharType="separate"/>
      </w:r>
      <w:r>
        <w:t xml:space="preserve">(Greenleaf </w:t>
      </w:r>
      <w:r w:rsidRPr="006731C7">
        <w:rPr>
          <w:i/>
        </w:rPr>
        <w:t>et al.</w:t>
      </w:r>
      <w:r>
        <w:t xml:space="preserve"> 2007)</w:t>
      </w:r>
      <w:r>
        <w:fldChar w:fldCharType="end"/>
      </w:r>
      <w:r>
        <w:t>, or from expert opinion.</w:t>
      </w:r>
    </w:p>
    <w:p w:rsidR="0004680D" w:rsidRDefault="0004680D" w:rsidP="0004680D">
      <w:pPr>
        <w:pStyle w:val="NormalWeb"/>
        <w:jc w:val="both"/>
      </w:pPr>
      <w:r>
        <w:t xml:space="preserve">Using these data, the model first estimates the abundance index of each pollinator species in every cell in the landscape, based on the available nesting sites in that cell and the flowers (i.e., food) in surrounding cells. Flowers in nearby cells are given more weight than distant cells, according to the species’ average foraging range. </w:t>
      </w:r>
      <w:r w:rsidRPr="004E39A7">
        <w:t xml:space="preserve">Since pollinator abundance is limited by both nesting and floral resources, </w:t>
      </w:r>
      <w:r>
        <w:t xml:space="preserve">the </w:t>
      </w:r>
      <w:r w:rsidRPr="004E39A7">
        <w:t xml:space="preserve">pollinator </w:t>
      </w:r>
      <w:r>
        <w:t>abundance index</w:t>
      </w:r>
      <w:r w:rsidRPr="004E39A7">
        <w:t xml:space="preserve"> on</w:t>
      </w:r>
      <w:r>
        <w:t xml:space="preserve"> cell </w:t>
      </w:r>
      <w:r>
        <w:rPr>
          <w:i/>
        </w:rPr>
        <w:t>x,</w:t>
      </w:r>
      <w:r w:rsidRPr="001F1BB7">
        <w:rPr>
          <w:i/>
        </w:rPr>
        <w:t xml:space="preserve"> P</w:t>
      </w:r>
      <w:r w:rsidRPr="001F1BB7">
        <w:rPr>
          <w:i/>
          <w:vertAlign w:val="subscript"/>
        </w:rPr>
        <w:t>x</w:t>
      </w:r>
      <w:r>
        <w:t xml:space="preserve">, </w:t>
      </w:r>
      <w:r w:rsidRPr="004E39A7">
        <w:t>is simply the product of foraging and nesting such that</w:t>
      </w:r>
      <w:r>
        <w:t>:</w:t>
      </w:r>
    </w:p>
    <w:p w:rsidR="0004680D" w:rsidRDefault="0004680D" w:rsidP="0004680D">
      <w:pPr>
        <w:pStyle w:val="NormalWeb"/>
        <w:jc w:val="center"/>
      </w:pPr>
      <w:r w:rsidRPr="001F1BB7">
        <w:rPr>
          <w:position w:val="-64"/>
        </w:rPr>
        <w:object w:dxaOrig="196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81pt" o:ole="">
            <v:imagedata r:id="rId7" o:title=""/>
          </v:shape>
          <o:OLEObject Type="Embed" ProgID="Equation.3" ShapeID="_x0000_i1025" DrawAspect="Content" ObjectID="_1366294143" r:id="rId8"/>
        </w:object>
      </w:r>
      <w:r>
        <w:t>,</w:t>
      </w:r>
    </w:p>
    <w:p w:rsidR="0004680D" w:rsidRPr="001F1BB7" w:rsidRDefault="0004680D" w:rsidP="0004680D">
      <w:pPr>
        <w:pStyle w:val="NormalWeb"/>
        <w:jc w:val="both"/>
      </w:pPr>
      <w:r>
        <w:t xml:space="preserve">where </w:t>
      </w:r>
      <w:r w:rsidRPr="001F1BB7">
        <w:rPr>
          <w:i/>
        </w:rPr>
        <w:t>N</w:t>
      </w:r>
      <w:r w:rsidRPr="001F1BB7">
        <w:rPr>
          <w:i/>
          <w:vertAlign w:val="subscript"/>
        </w:rPr>
        <w:t>j</w:t>
      </w:r>
      <w:r>
        <w:t xml:space="preserve"> is the suitability of nesting of LULC type </w:t>
      </w:r>
      <w:r w:rsidRPr="001F1BB7">
        <w:rPr>
          <w:i/>
        </w:rPr>
        <w:t>j</w:t>
      </w:r>
      <w:r>
        <w:t xml:space="preserve">, </w:t>
      </w:r>
      <w:r w:rsidRPr="001F1BB7">
        <w:rPr>
          <w:i/>
        </w:rPr>
        <w:t>F</w:t>
      </w:r>
      <w:r w:rsidRPr="001F1BB7">
        <w:rPr>
          <w:i/>
          <w:vertAlign w:val="subscript"/>
        </w:rPr>
        <w:t>j</w:t>
      </w:r>
      <w:r w:rsidRPr="001F1BB7">
        <w:rPr>
          <w:i/>
        </w:rPr>
        <w:t xml:space="preserve"> </w:t>
      </w:r>
      <w:r>
        <w:t xml:space="preserve">is the relative amount floral resources produced by LULC type </w:t>
      </w:r>
      <w:r w:rsidRPr="001F1BB7">
        <w:rPr>
          <w:i/>
        </w:rPr>
        <w:t>j</w:t>
      </w:r>
      <w:r>
        <w:t xml:space="preserve">, </w:t>
      </w:r>
      <w:r w:rsidRPr="004E39A7">
        <w:rPr>
          <w:i/>
        </w:rPr>
        <w:t>D</w:t>
      </w:r>
      <w:r>
        <w:rPr>
          <w:i/>
          <w:vertAlign w:val="subscript"/>
        </w:rPr>
        <w:t>mx</w:t>
      </w:r>
      <w:r w:rsidRPr="004E39A7">
        <w:t xml:space="preserve"> is the Euclidean distance between </w:t>
      </w:r>
      <w:r>
        <w:t>cell</w:t>
      </w:r>
      <w:r w:rsidRPr="004E39A7">
        <w:t xml:space="preserve">s </w:t>
      </w:r>
      <w:r>
        <w:rPr>
          <w:i/>
        </w:rPr>
        <w:t>m</w:t>
      </w:r>
      <w:r w:rsidRPr="004E39A7">
        <w:t xml:space="preserve"> and </w:t>
      </w:r>
      <w:r>
        <w:rPr>
          <w:i/>
        </w:rPr>
        <w:t>x</w:t>
      </w:r>
      <w:r>
        <w:t xml:space="preserve"> and </w:t>
      </w:r>
      <w:r w:rsidRPr="00F43245">
        <w:rPr>
          <w:rFonts w:ascii="Symbol" w:hAnsi="Symbol"/>
          <w:i/>
        </w:rPr>
        <w:t></w:t>
      </w:r>
      <w:r w:rsidRPr="004E39A7">
        <w:t xml:space="preserve"> is the</w:t>
      </w:r>
      <w:r>
        <w:t xml:space="preserve"> expected </w:t>
      </w:r>
      <w:r w:rsidRPr="004E39A7">
        <w:t xml:space="preserve">foraging distance for </w:t>
      </w:r>
      <w:r>
        <w:t xml:space="preserve">the pollinator (Greenleaf </w:t>
      </w:r>
      <w:r w:rsidRPr="00024A86">
        <w:rPr>
          <w:i/>
        </w:rPr>
        <w:t>et al.</w:t>
      </w:r>
      <w:r>
        <w:t xml:space="preserve"> 2007).</w:t>
      </w:r>
    </w:p>
    <w:p w:rsidR="0004680D" w:rsidRDefault="0004680D" w:rsidP="0004680D">
      <w:pPr>
        <w:pStyle w:val="NormalWeb"/>
        <w:jc w:val="both"/>
      </w:pPr>
      <w:r>
        <w:t xml:space="preserve">The result is a map of the abundance index (0-1) for each species, which represents a map of “pollinator supply” (i.e., bees available to pollinate crops).  In this sense, this map represents the potential sources of pollination services, but it has not yet incorporated demand. In other words, the landscape may be rich in pollinator abundance, but if there are no bee-pollinated crops on that landscape, those bees will not be providing the service of crop pollination. </w:t>
      </w:r>
    </w:p>
    <w:p w:rsidR="0004680D" w:rsidRPr="002229C5" w:rsidRDefault="0004680D" w:rsidP="0004680D">
      <w:pPr>
        <w:jc w:val="both"/>
      </w:pPr>
      <w:r>
        <w:t xml:space="preserve">To make this connection between areas of “supply” and “demand,” the model calculates an abundance index of visiting bees at each agricultural cell, </w:t>
      </w:r>
      <w:r>
        <w:rPr>
          <w:bCs/>
        </w:rPr>
        <w:t xml:space="preserve">by again using flight ranges of pollinator species to simulate their foraging in nearby cells.  Specifically, it sums pollinator supply values in cells surrounding each agricultural cell, again </w:t>
      </w:r>
      <w:r w:rsidRPr="002229C5">
        <w:t xml:space="preserve">giving more weight to nearby cells.  </w:t>
      </w:r>
      <w:r w:rsidRPr="002229C5">
        <w:rPr>
          <w:bCs/>
        </w:rPr>
        <w:t xml:space="preserve">This sum, created separately for each pollinator species at each agricultural site, is an index of the abundance of bees visiting each farm site </w:t>
      </w:r>
      <w:r w:rsidRPr="002229C5">
        <w:t>(i.e., “farm abundance”)</w:t>
      </w:r>
      <w:r w:rsidRPr="002229C5">
        <w:rPr>
          <w:bCs/>
        </w:rPr>
        <w:t>.</w:t>
      </w:r>
      <w:r w:rsidRPr="002229C5">
        <w:t xml:space="preserve"> We use the foraging framework described in the previous equation to determine the relative abundance of bees that travel from a single source cell </w:t>
      </w:r>
      <w:r w:rsidRPr="002229C5">
        <w:rPr>
          <w:i/>
        </w:rPr>
        <w:t>x</w:t>
      </w:r>
      <w:r w:rsidRPr="002229C5">
        <w:t xml:space="preserve"> to forage on a crop in agricultural cell </w:t>
      </w:r>
      <w:r w:rsidRPr="002229C5">
        <w:rPr>
          <w:i/>
        </w:rPr>
        <w:t>o</w:t>
      </w:r>
      <w:r w:rsidRPr="002229C5">
        <w:t xml:space="preserve">: </w:t>
      </w:r>
    </w:p>
    <w:p w:rsidR="0004680D" w:rsidRPr="002229C5" w:rsidRDefault="0004680D" w:rsidP="0004680D">
      <w:pPr>
        <w:ind w:firstLine="720"/>
        <w:jc w:val="center"/>
      </w:pPr>
      <w:r w:rsidRPr="002229C5">
        <w:rPr>
          <w:position w:val="-64"/>
        </w:rPr>
        <w:object w:dxaOrig="1420" w:dyaOrig="1240">
          <v:shape id="_x0000_i1026" type="#_x0000_t75" style="width:94.5pt;height:82.5pt" o:ole="">
            <v:imagedata r:id="rId9" o:title=""/>
          </v:shape>
          <o:OLEObject Type="Embed" ProgID="Equation.3" ShapeID="_x0000_i1026" DrawAspect="Content" ObjectID="_1366294144" r:id="rId10"/>
        </w:object>
      </w:r>
      <w:r w:rsidRPr="002229C5">
        <w:t>,</w:t>
      </w:r>
    </w:p>
    <w:p w:rsidR="0004680D" w:rsidRPr="00936633" w:rsidRDefault="0004680D" w:rsidP="0004680D">
      <w:pPr>
        <w:pStyle w:val="NormalWeb"/>
        <w:jc w:val="both"/>
        <w:rPr>
          <w:bCs/>
        </w:rPr>
      </w:pPr>
      <w:r w:rsidRPr="002229C5">
        <w:t xml:space="preserve">where </w:t>
      </w:r>
      <w:r w:rsidRPr="002229C5">
        <w:rPr>
          <w:i/>
        </w:rPr>
        <w:t>P</w:t>
      </w:r>
      <w:r w:rsidRPr="002229C5">
        <w:rPr>
          <w:i/>
          <w:vertAlign w:val="subscript"/>
        </w:rPr>
        <w:t>x</w:t>
      </w:r>
      <w:r w:rsidRPr="002229C5">
        <w:t xml:space="preserve"> is the supply of pollinators on cell </w:t>
      </w:r>
      <w:r w:rsidRPr="002229C5">
        <w:rPr>
          <w:i/>
        </w:rPr>
        <w:t>x</w:t>
      </w:r>
      <w:r w:rsidRPr="002229C5">
        <w:t xml:space="preserve">, </w:t>
      </w:r>
      <w:r w:rsidRPr="002229C5">
        <w:rPr>
          <w:i/>
        </w:rPr>
        <w:t>D</w:t>
      </w:r>
      <w:r w:rsidRPr="002229C5">
        <w:rPr>
          <w:i/>
          <w:vertAlign w:val="subscript"/>
        </w:rPr>
        <w:t>ox</w:t>
      </w:r>
      <w:r w:rsidRPr="002229C5">
        <w:t xml:space="preserve"> is distance between source cell </w:t>
      </w:r>
      <w:r w:rsidRPr="002229C5">
        <w:rPr>
          <w:i/>
        </w:rPr>
        <w:t>x</w:t>
      </w:r>
      <w:r w:rsidRPr="002229C5">
        <w:t xml:space="preserve"> and agricultural cell </w:t>
      </w:r>
      <w:r w:rsidRPr="002229C5">
        <w:rPr>
          <w:i/>
        </w:rPr>
        <w:t>o</w:t>
      </w:r>
      <w:r w:rsidRPr="002229C5">
        <w:t xml:space="preserve">, and </w:t>
      </w:r>
      <w:r w:rsidRPr="002229C5">
        <w:rPr>
          <w:rFonts w:ascii="Symbol" w:hAnsi="Symbol"/>
          <w:i/>
        </w:rPr>
        <w:t></w:t>
      </w:r>
      <w:r w:rsidRPr="002229C5">
        <w:t xml:space="preserve"> is species’ average foraging distance.  The numerator of this equation </w:t>
      </w:r>
      <w:r w:rsidRPr="002229C5">
        <w:lastRenderedPageBreak/>
        <w:t xml:space="preserve">represents the distance-weighted proportion of the pollinators supplied by cell </w:t>
      </w:r>
      <w:r w:rsidRPr="002229C5">
        <w:rPr>
          <w:i/>
        </w:rPr>
        <w:t>m</w:t>
      </w:r>
      <w:r w:rsidRPr="002229C5">
        <w:t xml:space="preserve"> that forage within cell </w:t>
      </w:r>
      <w:r w:rsidRPr="002229C5">
        <w:rPr>
          <w:i/>
        </w:rPr>
        <w:t xml:space="preserve">o </w:t>
      </w:r>
      <w:r w:rsidRPr="002229C5">
        <w:t xml:space="preserve">and the numerator is a scalar that normalizes this contribution by the total area </w:t>
      </w:r>
      <w:r w:rsidRPr="00936633">
        <w:t xml:space="preserve">within foraging distance (Winfree </w:t>
      </w:r>
      <w:r w:rsidRPr="00936633">
        <w:rPr>
          <w:i/>
        </w:rPr>
        <w:t>et al.</w:t>
      </w:r>
      <w:r w:rsidRPr="00936633">
        <w:t xml:space="preserve"> 2005).  The total pollinator abundance on agricultural cell </w:t>
      </w:r>
      <w:r w:rsidRPr="00936633">
        <w:rPr>
          <w:i/>
        </w:rPr>
        <w:t>o</w:t>
      </w:r>
      <w:r w:rsidRPr="00936633">
        <w:t xml:space="preserve">, </w:t>
      </w:r>
      <w:r w:rsidRPr="00936633">
        <w:rPr>
          <w:i/>
        </w:rPr>
        <w:t>P</w:t>
      </w:r>
      <w:r w:rsidRPr="00936633">
        <w:rPr>
          <w:i/>
          <w:vertAlign w:val="subscript"/>
        </w:rPr>
        <w:t>o</w:t>
      </w:r>
      <w:r w:rsidRPr="00936633">
        <w:t xml:space="preserve">, is simply the sum over all </w:t>
      </w:r>
      <w:r w:rsidRPr="00936633">
        <w:rPr>
          <w:i/>
        </w:rPr>
        <w:t xml:space="preserve">M </w:t>
      </w:r>
      <w:r w:rsidRPr="00936633">
        <w:t xml:space="preserve">cells.  </w:t>
      </w:r>
      <w:r w:rsidRPr="00936633">
        <w:rPr>
          <w:bCs/>
        </w:rPr>
        <w:t>This second map represents the relative degree of pollination service at the demand points, or points at which this service is “delivered”: agricultural cells.</w:t>
      </w:r>
    </w:p>
    <w:p w:rsidR="0004680D" w:rsidRPr="00936633" w:rsidRDefault="0004680D" w:rsidP="0004680D">
      <w:pPr>
        <w:jc w:val="both"/>
      </w:pPr>
      <w:r w:rsidRPr="00936633">
        <w:t xml:space="preserve">The actual economic benefit received from pollination depends on how crops grown in each cell respond to pollinators. The model therefore takes two additional (optional) steps to translate farm abundances of pollinators into indices of expected economic value. In lieu of a more detailed agricultural production function, we use a simple saturating crop yield function, which assumes that yield increases as pollinator visitation increases, but with diminishing returns </w:t>
      </w:r>
      <w:r w:rsidRPr="00936633">
        <w:fldChar w:fldCharType="begin"/>
      </w:r>
      <w:r w:rsidRPr="00936633">
        <w:instrText xml:space="preserve"> ADDIN EN.CITE &lt;EndNote&gt;&lt;Cite&gt;&lt;Author&gt;Greenleaf&lt;/Author&gt;&lt;Year&gt;2006&lt;/Year&gt;&lt;RecNum&gt;17&lt;/RecNum&gt;&lt;record&gt;&lt;rec-number&gt;17&lt;/rec-number&gt;&lt;ref-type name="Journal Article"&gt;17&lt;/ref-type&gt;&lt;contributors&gt;&lt;authors&gt;&lt;author&gt;Greenleaf, Sarah S.&lt;/author&gt;&lt;author&gt;Kremen, Claire&lt;/author&gt;&lt;/authors&gt;&lt;/contributors&gt;&lt;titles&gt;&lt;title&gt;Wild bee species increase tomato production and respond differently to surrounding land use in Northern California&lt;/title&gt;&lt;secondary-title&gt;Biological Conservation&lt;/secondary-title&gt;&lt;/titles&gt;&lt;periodical&gt;&lt;full-title&gt;Biological Conservation&lt;/full-title&gt;&lt;/periodical&gt;&lt;pages&gt;81-87&lt;/pages&gt;&lt;volume&gt;133&lt;/volume&gt;&lt;number&gt;1&lt;/number&gt;&lt;keywords&gt;&lt;keyword&gt;Agro-ecosystem&lt;/keyword&gt;&lt;keyword&gt;Anthophora urbana&lt;/keyword&gt;&lt;keyword&gt;Bombus vosnesenskii&lt;/keyword&gt;&lt;keyword&gt;Crop pollination&lt;/keyword&gt;&lt;keyword&gt;Ecosystem services&lt;/keyword&gt;&lt;keyword&gt;Habitat conservation&lt;/keyword&gt;&lt;/keywords&gt;&lt;dates&gt;&lt;year&gt;2006&lt;/year&gt;&lt;/dates&gt;&lt;accession-num&gt;3963&lt;/accession-num&gt;&lt;urls&gt;&lt;related-urls&gt;&lt;url&gt;http://www.sciencedirect.com/science/article/B6V5X-4KGG61X-2/2/8e5d3cec86e9c1b4d449e7bb8678aed1 &lt;/url&gt;&lt;/related-urls&gt;&lt;/urls&gt;&lt;/record&gt;&lt;/Cite&gt;&lt;/EndNote&gt;</w:instrText>
      </w:r>
      <w:r w:rsidRPr="00936633">
        <w:fldChar w:fldCharType="separate"/>
      </w:r>
      <w:r w:rsidRPr="00936633">
        <w:t>(Greenleaf and Kremen 2006)</w:t>
      </w:r>
      <w:r w:rsidRPr="00936633">
        <w:fldChar w:fldCharType="end"/>
      </w:r>
      <w:r w:rsidRPr="00936633">
        <w:t xml:space="preserve">. </w:t>
      </w:r>
      <w:r>
        <w:t>C</w:t>
      </w:r>
      <w:r w:rsidRPr="00936633">
        <w:t>rops vary in their dependence on pollinators</w:t>
      </w:r>
      <w:r>
        <w:t xml:space="preserve">; </w:t>
      </w:r>
      <w:r w:rsidRPr="00936633">
        <w:t xml:space="preserve">some crop species are self-compatible and yield is less dependent on pollination while other species obligately require pollination to generate any yield (Klein </w:t>
      </w:r>
      <w:r w:rsidRPr="00936633">
        <w:rPr>
          <w:i/>
        </w:rPr>
        <w:t>et al.</w:t>
      </w:r>
      <w:r w:rsidRPr="00936633">
        <w:t xml:space="preserve"> 2007). We account for both observations, and thus calculate the expected yield of a crop </w:t>
      </w:r>
      <w:r w:rsidRPr="00936633">
        <w:rPr>
          <w:i/>
        </w:rPr>
        <w:t>c</w:t>
      </w:r>
      <w:r w:rsidRPr="00936633">
        <w:t xml:space="preserve"> on farm </w:t>
      </w:r>
      <w:r w:rsidRPr="00936633">
        <w:rPr>
          <w:i/>
        </w:rPr>
        <w:t>o</w:t>
      </w:r>
      <w:r w:rsidRPr="00936633">
        <w:t xml:space="preserve">, </w:t>
      </w:r>
      <w:r w:rsidRPr="00936633">
        <w:rPr>
          <w:i/>
        </w:rPr>
        <w:t>Y</w:t>
      </w:r>
      <w:r w:rsidRPr="00936633">
        <w:rPr>
          <w:i/>
          <w:vertAlign w:val="subscript"/>
        </w:rPr>
        <w:t>o</w:t>
      </w:r>
      <w:r w:rsidRPr="00936633">
        <w:t>, as:</w:t>
      </w:r>
    </w:p>
    <w:p w:rsidR="0004680D" w:rsidRDefault="0004680D" w:rsidP="0004680D">
      <w:pPr>
        <w:ind w:firstLine="720"/>
        <w:jc w:val="center"/>
      </w:pPr>
      <w:r w:rsidRPr="00F21DB3">
        <w:rPr>
          <w:position w:val="-30"/>
        </w:rPr>
        <w:object w:dxaOrig="2299" w:dyaOrig="700">
          <v:shape id="_x0000_i1027" type="#_x0000_t75" style="width:139pt;height:42.5pt" o:ole="">
            <v:imagedata r:id="rId11" o:title=""/>
          </v:shape>
          <o:OLEObject Type="Embed" ProgID="Equation.3" ShapeID="_x0000_i1027" DrawAspect="Content" ObjectID="_1366294145" r:id="rId12"/>
        </w:object>
      </w:r>
      <w:r>
        <w:t>,</w:t>
      </w:r>
    </w:p>
    <w:p w:rsidR="0004680D" w:rsidRDefault="0004680D" w:rsidP="0004680D">
      <w:pPr>
        <w:pStyle w:val="NormalWeb"/>
        <w:jc w:val="both"/>
      </w:pPr>
      <w:r w:rsidRPr="00A94FD1">
        <w:t xml:space="preserve">Where </w:t>
      </w:r>
      <w:r w:rsidRPr="00A94FD1">
        <w:rPr>
          <w:rFonts w:ascii="Symbol" w:hAnsi="Symbol"/>
          <w:i/>
        </w:rPr>
        <w:t></w:t>
      </w:r>
      <w:r w:rsidRPr="00A94FD1">
        <w:rPr>
          <w:i/>
          <w:vertAlign w:val="subscript"/>
        </w:rPr>
        <w:t>c</w:t>
      </w:r>
      <w:r w:rsidRPr="00A94FD1">
        <w:t xml:space="preserve"> represents the proportion of total crop </w:t>
      </w:r>
      <w:r w:rsidRPr="00A94FD1">
        <w:rPr>
          <w:i/>
        </w:rPr>
        <w:t>c</w:t>
      </w:r>
      <w:r w:rsidRPr="00A94FD1">
        <w:t xml:space="preserve">’s yield attributed only to wild pollination (e.g. </w:t>
      </w:r>
      <w:r w:rsidRPr="00A94FD1">
        <w:rPr>
          <w:rFonts w:ascii="Symbol" w:hAnsi="Symbol"/>
          <w:i/>
        </w:rPr>
        <w:t></w:t>
      </w:r>
      <w:r w:rsidRPr="00A94FD1">
        <w:rPr>
          <w:i/>
          <w:vertAlign w:val="subscript"/>
        </w:rPr>
        <w:t>c</w:t>
      </w:r>
      <w:r w:rsidRPr="00A94FD1">
        <w:t xml:space="preserve"> would be equal to 1 if a crop is an obligately outcrossing species and equal to 0 if the crop species were wind-pollinated)</w:t>
      </w:r>
      <w:r w:rsidRPr="00A94FD1">
        <w:rPr>
          <w:i/>
          <w:vertAlign w:val="subscript"/>
        </w:rPr>
        <w:t>.</w:t>
      </w:r>
      <w:r>
        <w:rPr>
          <w:i/>
          <w:vertAlign w:val="subscript"/>
        </w:rPr>
        <w:t xml:space="preserve"> </w:t>
      </w:r>
      <w:r>
        <w:t xml:space="preserve">In the denominator of the third term, </w:t>
      </w:r>
      <w:r>
        <w:rPr>
          <w:rFonts w:ascii="Symbol" w:hAnsi="Symbol"/>
          <w:i/>
        </w:rPr>
        <w:t></w:t>
      </w:r>
      <w:r w:rsidRPr="00725F3E">
        <w:rPr>
          <w:i/>
          <w:vertAlign w:val="subscript"/>
        </w:rPr>
        <w:t>c</w:t>
      </w:r>
      <w:r>
        <w:t xml:space="preserve"> is a half-saturation constant and represents the abundance of pollinators required to reach 50% of pollinator-dependent yield.  </w:t>
      </w:r>
    </w:p>
    <w:p w:rsidR="0004680D" w:rsidRDefault="0004680D" w:rsidP="0004680D">
      <w:pPr>
        <w:jc w:val="both"/>
      </w:pPr>
      <w:r>
        <w:t xml:space="preserve">Once the model has calculated value for each agricultural cell, it redistributes this value back to cells that supplied the relevant pollinators, creating a map of value at the source.  First, the model assigns fractions of the cell’s value to each of the bee species, according to their partial contribution to total farm abundance.  Then each species’ value is redistributed back to the source cells from which they came using the same distance-weighted relationship described above.  Thus source habitats close by provide greater service value than those farther away.  Formally, we calculate pollinator service provided to </w:t>
      </w:r>
      <w:r w:rsidRPr="00725F3E">
        <w:rPr>
          <w:i/>
        </w:rPr>
        <w:t>O</w:t>
      </w:r>
      <w:r>
        <w:t xml:space="preserve"> farms from each </w:t>
      </w:r>
      <w:r w:rsidRPr="00725F3E">
        <w:rPr>
          <w:i/>
        </w:rPr>
        <w:t>m</w:t>
      </w:r>
      <w:r>
        <w:t xml:space="preserve"> cell, </w:t>
      </w:r>
      <w:r>
        <w:rPr>
          <w:i/>
        </w:rPr>
        <w:t>P</w:t>
      </w:r>
      <w:r w:rsidRPr="00D70BA8">
        <w:rPr>
          <w:i/>
        </w:rPr>
        <w:t>S</w:t>
      </w:r>
      <w:r w:rsidRPr="00D70BA8">
        <w:rPr>
          <w:i/>
          <w:vertAlign w:val="subscript"/>
        </w:rPr>
        <w:t>m</w:t>
      </w:r>
      <w:r>
        <w:t>, as:</w:t>
      </w:r>
    </w:p>
    <w:p w:rsidR="0004680D" w:rsidRPr="004E39A7" w:rsidRDefault="0004680D" w:rsidP="0004680D">
      <w:pPr>
        <w:ind w:firstLine="720"/>
        <w:jc w:val="center"/>
      </w:pPr>
      <w:r w:rsidRPr="00D70BA8">
        <w:rPr>
          <w:position w:val="-30"/>
        </w:rPr>
        <w:object w:dxaOrig="1820" w:dyaOrig="700">
          <v:shape id="_x0000_i1028" type="#_x0000_t75" style="width:113pt;height:43pt" o:ole="">
            <v:imagedata r:id="rId13" o:title=""/>
          </v:shape>
          <o:OLEObject Type="Embed" ProgID="Equation.3" ShapeID="_x0000_i1028" DrawAspect="Content" ObjectID="_1366294146" r:id="rId14"/>
        </w:object>
      </w:r>
      <w:r w:rsidRPr="004E39A7">
        <w:t>,</w:t>
      </w:r>
    </w:p>
    <w:p w:rsidR="0004680D" w:rsidRDefault="0004680D" w:rsidP="0004680D">
      <w:pPr>
        <w:pStyle w:val="NormalWeb"/>
        <w:jc w:val="both"/>
      </w:pPr>
      <w:r>
        <w:t xml:space="preserve">where </w:t>
      </w:r>
      <w:r>
        <w:rPr>
          <w:i/>
        </w:rPr>
        <w:t>V</w:t>
      </w:r>
      <w:r w:rsidRPr="000D09F7">
        <w:rPr>
          <w:i/>
          <w:vertAlign w:val="subscript"/>
        </w:rPr>
        <w:t>o</w:t>
      </w:r>
      <w:r>
        <w:t xml:space="preserve"> represents the crop value in farm cell </w:t>
      </w:r>
      <w:r w:rsidRPr="000D09F7">
        <w:rPr>
          <w:i/>
        </w:rPr>
        <w:t>o</w:t>
      </w:r>
      <w:r>
        <w:t>. The result is a map of “pollinator service value” that estimates the relative index of economic value of pollinators for agricultural areas.</w:t>
      </w:r>
    </w:p>
    <w:p w:rsidR="0004680D" w:rsidRPr="00065E51" w:rsidRDefault="0004680D" w:rsidP="0004680D">
      <w:pPr>
        <w:pStyle w:val="NormalWeb"/>
        <w:jc w:val="both"/>
        <w:rPr>
          <w:bCs/>
        </w:rPr>
      </w:pPr>
      <w:r>
        <w:t xml:space="preserve">If the simple saturating yield function is deemed too simplistic, one may link this pollination model to InVEST’s agricultural production model that includes other factors such as fertilizer, irrigation, labor, etc. The integration of these two models will give a more appropriate representation of the multiple inputs to agricultural production.  It will also be possible to more specifically derive the amount of crop yield provided by wild pollinators (yield contribution) and the net present value of that additional yield. </w:t>
      </w:r>
      <w:r>
        <w:rPr>
          <w:bCs/>
        </w:rPr>
        <w:t xml:space="preserve">See Lonsdorf </w:t>
      </w:r>
      <w:r w:rsidRPr="00024A86">
        <w:rPr>
          <w:bCs/>
          <w:i/>
        </w:rPr>
        <w:t>et al.</w:t>
      </w:r>
      <w:r>
        <w:rPr>
          <w:bCs/>
        </w:rPr>
        <w:t xml:space="preserve"> (2009) and Lonsdorf </w:t>
      </w:r>
      <w:r w:rsidRPr="00024A86">
        <w:rPr>
          <w:bCs/>
          <w:i/>
        </w:rPr>
        <w:t>et al.</w:t>
      </w:r>
      <w:r>
        <w:rPr>
          <w:bCs/>
        </w:rPr>
        <w:t xml:space="preserve"> (in </w:t>
      </w:r>
      <w:r>
        <w:rPr>
          <w:bCs/>
        </w:rPr>
        <w:lastRenderedPageBreak/>
        <w:t>press) for equations that determine the pollinator supply, farm abundance, and pollinator service value maps.</w:t>
      </w:r>
    </w:p>
    <w:p w:rsidR="0004680D" w:rsidRDefault="0004680D" w:rsidP="0004680D">
      <w:pPr>
        <w:pStyle w:val="Heading3"/>
        <w:ind w:left="-180"/>
        <w:jc w:val="both"/>
        <w:rPr>
          <w:rFonts w:ascii="Cambria" w:hAnsi="Cambria"/>
        </w:rPr>
      </w:pPr>
    </w:p>
    <w:p w:rsidR="0004680D" w:rsidRPr="00886215" w:rsidRDefault="0004680D" w:rsidP="0004680D">
      <w:pPr>
        <w:pStyle w:val="Heading2"/>
        <w:rPr>
          <w:rFonts w:ascii="Cambria" w:hAnsi="Cambria"/>
        </w:rPr>
      </w:pPr>
      <w:bookmarkStart w:id="4" w:name="_Toc158980629"/>
      <w:r w:rsidRPr="00886215">
        <w:rPr>
          <w:rFonts w:ascii="Cambria" w:hAnsi="Cambria"/>
        </w:rPr>
        <w:t>Limitations and simplifications</w:t>
      </w:r>
      <w:bookmarkEnd w:id="4"/>
      <w:r w:rsidRPr="00886215">
        <w:rPr>
          <w:rFonts w:ascii="Cambria" w:hAnsi="Cambria"/>
        </w:rPr>
        <w:t xml:space="preserve"> </w:t>
      </w:r>
    </w:p>
    <w:p w:rsidR="0004680D" w:rsidRPr="00E510F6" w:rsidRDefault="0004680D" w:rsidP="0004680D"/>
    <w:p w:rsidR="0004680D" w:rsidRDefault="0004680D" w:rsidP="0004680D">
      <w:pPr>
        <w:jc w:val="both"/>
      </w:pPr>
      <w:r>
        <w:t xml:space="preserve">The model predicts an abundance index of wild pollinators on agricultural fields (cells) within a landscape, based on the pattern of land cover types and the resources they are estimated to contain for bees.  It also converts this abundance into indices of production value and attributes this value to the source cells for pollinators.  Like other InVEST models, the Pollination model is extremely simple, but it makes reasonably accurate predictions when compared to field observations of pollinators (Lonsdorf </w:t>
      </w:r>
      <w:r w:rsidRPr="00024A86">
        <w:rPr>
          <w:i/>
        </w:rPr>
        <w:t>et al.</w:t>
      </w:r>
      <w:r>
        <w:t xml:space="preserve"> 2009). Nevertheless, with this simplicity come several limitations that must be kept in mind. </w:t>
      </w:r>
    </w:p>
    <w:p w:rsidR="0004680D" w:rsidRDefault="0004680D" w:rsidP="0004680D">
      <w:pPr>
        <w:jc w:val="both"/>
      </w:pPr>
    </w:p>
    <w:p w:rsidR="0004680D" w:rsidRDefault="0004680D" w:rsidP="0004680D">
      <w:pPr>
        <w:pStyle w:val="NormalWeb"/>
        <w:spacing w:before="0" w:beforeAutospacing="0" w:after="0" w:afterAutospacing="0"/>
        <w:jc w:val="both"/>
        <w:rPr>
          <w:bCs/>
        </w:rPr>
      </w:pPr>
      <w:r>
        <w:rPr>
          <w:bCs/>
        </w:rPr>
        <w:t>First, the model predicts only relative patterns of pollinator abundance and pollination value (using indices of 0-1). This is because absolute estimates of nest density, resource availability, and pollinator abundance are rarely available, and yield functions (including pollinator abundance) for many crops are poorly defined.  However, relying on relative indices limits our ability to estimate absolute economic values to better inform land-use planning decision-making, often based on cost-benefit analyses.</w:t>
      </w:r>
    </w:p>
    <w:p w:rsidR="0004680D" w:rsidRDefault="0004680D" w:rsidP="0004680D">
      <w:pPr>
        <w:pStyle w:val="NormalWeb"/>
        <w:spacing w:before="0" w:beforeAutospacing="0" w:after="0" w:afterAutospacing="0"/>
        <w:jc w:val="both"/>
        <w:rPr>
          <w:bCs/>
        </w:rPr>
      </w:pPr>
    </w:p>
    <w:p w:rsidR="0004680D" w:rsidRDefault="0004680D" w:rsidP="0004680D">
      <w:pPr>
        <w:pStyle w:val="NormalWeb"/>
        <w:spacing w:before="0" w:beforeAutospacing="0" w:after="0" w:afterAutospacing="0"/>
        <w:jc w:val="both"/>
        <w:rPr>
          <w:bCs/>
        </w:rPr>
      </w:pPr>
      <w:r>
        <w:rPr>
          <w:bCs/>
        </w:rPr>
        <w:t xml:space="preserve">This simplicity is perhaps most limiting in calculating indices of value, both on farms and at the source cells of pollinator supply. With field samples of absolute pollinator abundance, one could calibrate InVEST’s relative indices to predict actual pollinator abundances. And with specific yield functions, one could use these actual abundances to estimate absolute estimates of economic value. This would require, beyond these additional data, custom modeling steps that InVEST does not offer. InVEST does produce, however, the intermediate results necessary to insert these modeling steps. Furthermore, the logic that increasing pollinator abundance and diversity lead to increased yield is supported by previous research </w:t>
      </w:r>
      <w:r>
        <w:fldChar w:fldCharType="begin"/>
      </w:r>
      <w:r>
        <w:instrText xml:space="preserve"> ADDIN EN.CITE &lt;EndNote&gt;&lt;Cite&gt;&lt;Author&gt;Greenleaf&lt;/Author&gt;&lt;Year&gt;2006&lt;/Year&gt;&lt;RecNum&gt;17&lt;/RecNum&gt;&lt;record&gt;&lt;rec-number&gt;17&lt;/rec-number&gt;&lt;ref-type name="Journal Article"&gt;17&lt;/ref-type&gt;&lt;contributors&gt;&lt;authors&gt;&lt;author&gt;Greenleaf, Sarah S.&lt;/author&gt;&lt;author&gt;Kremen, Claire&lt;/author&gt;&lt;/authors&gt;&lt;/contributors&gt;&lt;titles&gt;&lt;title&gt;Wild bee species increase tomato production and respond differently to surrounding land use in Northern California&lt;/title&gt;&lt;secondary-title&gt;Biological Conservation&lt;/secondary-title&gt;&lt;/titles&gt;&lt;periodical&gt;&lt;full-title&gt;Biological Conservation&lt;/full-title&gt;&lt;/periodical&gt;&lt;pages&gt;81-87&lt;/pages&gt;&lt;volume&gt;133&lt;/volume&gt;&lt;number&gt;1&lt;/number&gt;&lt;keywords&gt;&lt;keyword&gt;Agro-ecosystem&lt;/keyword&gt;&lt;keyword&gt;Anthophora urbana&lt;/keyword&gt;&lt;keyword&gt;Bombus vosnesenskii&lt;/keyword&gt;&lt;keyword&gt;Crop pollination&lt;/keyword&gt;&lt;keyword&gt;Ecosystem services&lt;/keyword&gt;&lt;keyword&gt;Habitat conservation&lt;/keyword&gt;&lt;/keywords&gt;&lt;dates&gt;&lt;year&gt;2006&lt;/year&gt;&lt;/dates&gt;&lt;accession-num&gt;3963&lt;/accession-num&gt;&lt;urls&gt;&lt;related-urls&gt;&lt;url&gt;http://www.sciencedirect.com/science/article/B6V5X-4KGG61X-2/2/8e5d3cec86e9c1b4d449e7bb8678aed1 &lt;/url&gt;&lt;/related-urls&gt;&lt;/urls&gt;&lt;/record&gt;&lt;/Cite&gt;&lt;/EndNote&gt;</w:instrText>
      </w:r>
      <w:r>
        <w:fldChar w:fldCharType="separate"/>
      </w:r>
      <w:r>
        <w:t>(Greenleaf and Kremen 2006)</w:t>
      </w:r>
      <w:r>
        <w:fldChar w:fldCharType="end"/>
      </w:r>
      <w:r>
        <w:rPr>
          <w:bCs/>
        </w:rPr>
        <w:t>.</w:t>
      </w:r>
    </w:p>
    <w:p w:rsidR="0004680D" w:rsidRDefault="0004680D" w:rsidP="0004680D">
      <w:pPr>
        <w:pStyle w:val="NormalWeb"/>
        <w:spacing w:before="0" w:beforeAutospacing="0" w:after="0" w:afterAutospacing="0"/>
        <w:jc w:val="both"/>
        <w:rPr>
          <w:bCs/>
        </w:rPr>
      </w:pPr>
    </w:p>
    <w:p w:rsidR="0004680D" w:rsidRPr="0022426D" w:rsidRDefault="0004680D" w:rsidP="0004680D">
      <w:pPr>
        <w:pStyle w:val="NormalWeb"/>
        <w:spacing w:before="0" w:beforeAutospacing="0" w:after="0" w:afterAutospacing="0"/>
        <w:jc w:val="both"/>
      </w:pPr>
      <w:r>
        <w:t xml:space="preserve">One option for overcoming this limitation is to link this model with an agricultural production model (InVEST or another), which will take pollinator abundance as one input to predict and map agricultural yields. </w:t>
      </w:r>
      <w:r>
        <w:rPr>
          <w:bCs/>
        </w:rPr>
        <w:t xml:space="preserve">In formal terms, it will use pollination as a factor in a “production function” that relates yields of a given crop to the quantity and quality of various inputs (e.g., water, soil fertility, labor, chemicals, pollination). </w:t>
      </w:r>
      <w:r>
        <w:t xml:space="preserve">Using these production functions, it is possible to estimate the proportion of crop productivity that is due to pollination, and thus the economic value of those pollinators. </w:t>
      </w:r>
    </w:p>
    <w:p w:rsidR="0004680D" w:rsidRDefault="0004680D" w:rsidP="0004680D">
      <w:pPr>
        <w:pStyle w:val="NormalWeb"/>
        <w:jc w:val="both"/>
      </w:pPr>
      <w:r>
        <w:t>Second, the model does not include the dynamics of bee populations over time, and therefore cannot evaluate whether these populations are sustainable given the current landscape.  Instead, the model simply provides a static snapshot of the number of pollinators on each cell in the landscape, given simple estimates of nesting sites and food resources. Some of the factors that influence bee populations, like habitat disturbances and typical population fluctuations, are not captured.</w:t>
      </w:r>
    </w:p>
    <w:p w:rsidR="0004680D" w:rsidRDefault="0004680D" w:rsidP="0004680D">
      <w:pPr>
        <w:pStyle w:val="NormalWeb"/>
        <w:jc w:val="both"/>
      </w:pPr>
      <w:r>
        <w:lastRenderedPageBreak/>
        <w:t xml:space="preserve">Third, the model does not account for the sizes of habitat patches in estimating abundance.  For many species, there is a minimum patch size, under which a patch cannot support that species over the long term. There is some evidence that small patches support fewer species of bees </w:t>
      </w:r>
      <w:r>
        <w:fldChar w:fldCharType="begin"/>
      </w:r>
      <w:r>
        <w:instrText xml:space="preserve"> ADDIN EN.CITE &lt;EndNote&gt;&lt;Cite&gt;&lt;Author&gt;Kremen&lt;/Author&gt;&lt;Year&gt;2004&lt;/Year&gt;&lt;RecNum&gt;2068&lt;/RecNum&gt;&lt;record&gt;&lt;rec-number&gt;2068&lt;/rec-number&gt;&lt;ref-type name="Journal Article"&gt;17&lt;/ref-type&gt;&lt;contributors&gt;&lt;authors&gt;&lt;author&gt;Kremen, C.&lt;/author&gt;&lt;author&gt;Williams, N. M.&lt;/author&gt;&lt;author&gt;Bugg, R. L.&lt;/author&gt;&lt;author&gt;Fay, J. P.&lt;/author&gt;&lt;author&gt;Thorp, R. W.&lt;/author&gt;&lt;/authors&gt;&lt;/contributors&gt;&lt;titles&gt;&lt;title&gt;The area requirements of an ecosystem service: crop pollination by native bee communities in California&lt;/title&gt;&lt;secondary-title&gt;Ecology Letters&lt;/secondary-title&gt;&lt;/titles&gt;&lt;periodical&gt;&lt;full-title&gt;Ecology Letters&lt;/full-title&gt;&lt;/periodical&gt;&lt;pages&gt;1109-1119&lt;/pages&gt;&lt;volume&gt;7&lt;/volume&gt;&lt;number&gt;11&lt;/number&gt;&lt;keywords&gt;&lt;keyword&gt;agriculture&lt;/keyword&gt;&lt;keyword&gt;Apis mellifera&lt;/keyword&gt;&lt;keyword&gt;Apoidea&lt;/keyword&gt;&lt;keyword&gt;bee community&lt;/keyword&gt;&lt;keyword&gt;bee foraging&lt;/keyword&gt;&lt;keyword&gt;distance&lt;/keyword&gt;&lt;keyword&gt;conservation planning&lt;/keyword&gt;&lt;keyword&gt;landscape ecology&lt;/keyword&gt;&lt;keyword&gt;pollination&lt;/keyword&gt;&lt;keyword&gt;service&lt;/keyword&gt;&lt;keyword&gt;scale effects&lt;/keyword&gt;&lt;keyword&gt;SPATIAL AUTOCORRELATION&lt;/keyword&gt;&lt;keyword&gt;FRUIT-SET&lt;/keyword&gt;&lt;keyword&gt;HONEY-BEE&lt;/keyword&gt;&lt;keyword&gt;LANDSCAPE&lt;/keyword&gt;&lt;keyword&gt;ECOLOGY&lt;/keyword&gt;&lt;keyword&gt;SCALE&lt;/keyword&gt;&lt;keyword&gt;BIODIVERSITY&lt;/keyword&gt;&lt;keyword&gt;MANAGEMENT&lt;/keyword&gt;&lt;keyword&gt;WATERMELON&lt;/keyword&gt;&lt;keyword&gt;DIVERSITY&lt;/keyword&gt;&lt;/keywords&gt;&lt;dates&gt;&lt;year&gt;2004&lt;/year&gt;&lt;pub-dates&gt;&lt;date&gt;Nov&lt;/date&gt;&lt;/pub-dates&gt;&lt;/dates&gt;&lt;accession-num&gt;ISI:000224399400011&lt;/accession-num&gt;&lt;urls&gt;&lt;related-urls&gt;&lt;url&gt;&amp;lt;Go to ISI&amp;gt;://000224399400011 &lt;/url&gt;&lt;/related-urls&gt;&lt;/urls&gt;&lt;/record&gt;&lt;/Cite&gt;&lt;/EndNote&gt;</w:instrText>
      </w:r>
      <w:r>
        <w:fldChar w:fldCharType="separate"/>
      </w:r>
      <w:r>
        <w:t xml:space="preserve">(Kremen </w:t>
      </w:r>
      <w:r w:rsidRPr="00024A86">
        <w:rPr>
          <w:i/>
        </w:rPr>
        <w:t>et al.</w:t>
      </w:r>
      <w:r>
        <w:t xml:space="preserve"> 2004)</w:t>
      </w:r>
      <w:r>
        <w:fldChar w:fldCharType="end"/>
      </w:r>
      <w:r>
        <w:t xml:space="preserve">, but bees can also survive in surprisingly small areas of suitable habitat </w:t>
      </w:r>
      <w:r>
        <w:fldChar w:fldCharType="begin"/>
      </w:r>
      <w:r>
        <w:instrText xml:space="preserve"> ADDIN EN.CITE &lt;EndNote&gt;&lt;Cite&gt;&lt;Author&gt;Ricketts&lt;/Author&gt;&lt;Year&gt;2004&lt;/Year&gt;&lt;RecNum&gt;2127&lt;/RecNum&gt;&lt;record&gt;&lt;rec-number&gt;2127&lt;/rec-number&gt;&lt;ref-type name="Journal Article"&gt;17&lt;/ref-type&gt;&lt;contributors&gt;&lt;authors&gt;&lt;author&gt;Ricketts, T. H.&lt;/author&gt;&lt;/authors&gt;&lt;/contributors&gt;&lt;titles&gt;&lt;title&gt;Tropical forest fragments enhance pollinator activity in nearby coffee crops&lt;/title&gt;&lt;secondary-title&gt;Conservation Biology&lt;/secondary-title&gt;&lt;/titles&gt;&lt;pages&gt;1262-1271&lt;/pages&gt;&lt;volume&gt;18&lt;/volume&gt;&lt;number&gt;5&lt;/number&gt;&lt;dates&gt;&lt;year&gt;2004&lt;/year&gt;&lt;pub-dates&gt;&lt;date&gt;Oct&lt;/date&gt;&lt;/pub-dates&gt;&lt;/dates&gt;&lt;accession-num&gt;ISI:000224071800012&lt;/accession-num&gt;&lt;urls&gt;&lt;related-urls&gt;&lt;url&gt;&amp;lt;Go to ISI&amp;gt;://000224071800012 &lt;/url&gt;&lt;/related-urls&gt;&lt;/urls&gt;&lt;/record&gt;&lt;/Cite&gt;&lt;/EndNote&gt;</w:instrText>
      </w:r>
      <w:r>
        <w:fldChar w:fldCharType="separate"/>
      </w:r>
      <w:r>
        <w:t>(Ricketts 2004)</w:t>
      </w:r>
      <w:r>
        <w:fldChar w:fldCharType="end"/>
      </w:r>
      <w:r>
        <w:t>.</w:t>
      </w:r>
    </w:p>
    <w:p w:rsidR="0004680D" w:rsidRDefault="0004680D" w:rsidP="0004680D">
      <w:pPr>
        <w:pStyle w:val="NormalWeb"/>
        <w:jc w:val="both"/>
      </w:pPr>
      <w:r>
        <w:t>Fourth, pollinators are likely to be influenced by fine-scale features in the landscape, which are difficult to capture in typical land-cover data with typical resolutions of 1km or even 30m. For example, small patches of flower resources in an otherwise hostile habitat for bees can provide important food resources, but will not be detected by typical land cover maps. Some bees are also able to nest in small but suitable areas (a single suitable roadside or tree hollow). Using average values of nesting site or flower availability for each land cover type, along with 30m pixels or larger, will therefore not capture these fine scale but important areas of resources.</w:t>
      </w:r>
    </w:p>
    <w:p w:rsidR="0004680D" w:rsidRDefault="0004680D" w:rsidP="0004680D">
      <w:pPr>
        <w:pStyle w:val="NormalWeb"/>
        <w:jc w:val="both"/>
      </w:pPr>
      <w:r>
        <w:t xml:space="preserve">Finally, the model does not include managed pollinators, such as honey bees, that are managed in boxed hives and can be moved among fields to pollinate crops. InVEST focuses on the ecosystem service of pollination by bees living wild in the landscape. Managed pollinators are a technological substitute for this ecosystem service, much as a water filtration plant is a substitute for purification services by wetlands and other natural systems. Clearly, any natural resource assessment needs to consider the costs and benefits of investments in technology (filtration plants, managed bees) alongside those of investments into natural capital (wetlands, wild bee </w:t>
      </w:r>
      <w:r w:rsidRPr="00CE12B0">
        <w:t>pollination).</w:t>
      </w:r>
    </w:p>
    <w:p w:rsidR="0004680D" w:rsidRDefault="0004680D" w:rsidP="0004680D">
      <w:pPr>
        <w:pStyle w:val="NormalWeb"/>
        <w:jc w:val="both"/>
      </w:pPr>
    </w:p>
    <w:p w:rsidR="0004680D" w:rsidRPr="00E804C4" w:rsidRDefault="0004680D" w:rsidP="0004680D">
      <w:pPr>
        <w:pStyle w:val="Heading2"/>
        <w:ind w:left="-270"/>
        <w:jc w:val="both"/>
        <w:rPr>
          <w:rFonts w:ascii="Cambria" w:hAnsi="Cambria"/>
        </w:rPr>
      </w:pPr>
      <w:bookmarkStart w:id="5" w:name="_Toc158980630"/>
      <w:r w:rsidRPr="00E804C4">
        <w:rPr>
          <w:rFonts w:ascii="Cambria" w:hAnsi="Cambria"/>
        </w:rPr>
        <w:t>Data needs</w:t>
      </w:r>
      <w:bookmarkEnd w:id="5"/>
    </w:p>
    <w:p w:rsidR="0004680D" w:rsidRDefault="0004680D" w:rsidP="0004680D">
      <w:pPr>
        <w:jc w:val="both"/>
      </w:pPr>
      <w:r>
        <w:t>The model uses five forms of input data (three are required, and two are optional):</w:t>
      </w:r>
    </w:p>
    <w:p w:rsidR="0004680D" w:rsidRDefault="0004680D" w:rsidP="0004680D">
      <w:pPr>
        <w:tabs>
          <w:tab w:val="left" w:pos="720"/>
        </w:tabs>
        <w:suppressAutoHyphens/>
        <w:jc w:val="both"/>
        <w:rPr>
          <w:b/>
        </w:rPr>
      </w:pPr>
    </w:p>
    <w:p w:rsidR="0004680D" w:rsidRDefault="0004680D" w:rsidP="0004680D">
      <w:pPr>
        <w:numPr>
          <w:ilvl w:val="0"/>
          <w:numId w:val="4"/>
        </w:numPr>
        <w:suppressAutoHyphens/>
        <w:ind w:left="540"/>
        <w:jc w:val="both"/>
      </w:pPr>
      <w:r>
        <w:rPr>
          <w:b/>
        </w:rPr>
        <w:t>Current l</w:t>
      </w:r>
      <w:r w:rsidRPr="0027755F">
        <w:rPr>
          <w:b/>
        </w:rPr>
        <w:t>and</w:t>
      </w:r>
      <w:r>
        <w:rPr>
          <w:b/>
        </w:rPr>
        <w:t xml:space="preserve"> </w:t>
      </w:r>
      <w:r w:rsidRPr="0027755F">
        <w:rPr>
          <w:b/>
        </w:rPr>
        <w:t>cover</w:t>
      </w:r>
      <w:r>
        <w:rPr>
          <w:b/>
        </w:rPr>
        <w:t xml:space="preserve"> map (required)</w:t>
      </w:r>
      <w:r>
        <w:t xml:space="preserve">. A GIS raster dataset, with a land use and land cover (LULC) code for each cell. The dataset should be projected in meters and the projection should be defined. </w:t>
      </w:r>
      <w:r w:rsidRPr="00EE6DAF">
        <w:t xml:space="preserve">This coverage must be of fine enough resolution (i.e., </w:t>
      </w:r>
      <w:r>
        <w:t xml:space="preserve">sufficiently </w:t>
      </w:r>
      <w:r w:rsidRPr="00EE6DAF">
        <w:t xml:space="preserve">small </w:t>
      </w:r>
      <w:r>
        <w:t>cell-size</w:t>
      </w:r>
      <w:r w:rsidRPr="00EE6DAF">
        <w:t>) to capture the movements o</w:t>
      </w:r>
      <w:r>
        <w:t xml:space="preserve">f bees on a landscape. </w:t>
      </w:r>
      <w:r w:rsidRPr="00EE6DAF">
        <w:t>If bees fly 800 meters on average and cells are</w:t>
      </w:r>
      <w:r>
        <w:t xml:space="preserve"> 1</w:t>
      </w:r>
      <w:r w:rsidRPr="00EE6DAF">
        <w:t>000 meters across, the model w</w:t>
      </w:r>
      <w:r>
        <w:t>ill not</w:t>
      </w:r>
      <w:r w:rsidRPr="00EE6DAF">
        <w:t xml:space="preserve"> </w:t>
      </w:r>
      <w:r>
        <w:t xml:space="preserve">fully </w:t>
      </w:r>
      <w:r w:rsidRPr="00EE6DAF">
        <w:t>capture the movement of bees from their nesting sites to neighboring farms.</w:t>
      </w:r>
    </w:p>
    <w:p w:rsidR="0004680D" w:rsidRDefault="0004680D" w:rsidP="0004680D">
      <w:pPr>
        <w:ind w:left="1080"/>
        <w:jc w:val="both"/>
        <w:rPr>
          <w:u w:val="single"/>
        </w:rPr>
      </w:pPr>
      <w:r>
        <w:rPr>
          <w:u w:val="single"/>
        </w:rPr>
        <w:t>Name</w:t>
      </w:r>
      <w:r>
        <w:t>: file can be named anything, but avoid spaces (e.g. use lulc_samp_cur)</w:t>
      </w:r>
    </w:p>
    <w:p w:rsidR="0004680D" w:rsidRDefault="0004680D" w:rsidP="0004680D">
      <w:pPr>
        <w:ind w:left="1080"/>
        <w:jc w:val="both"/>
      </w:pPr>
      <w:r>
        <w:rPr>
          <w:u w:val="single"/>
        </w:rPr>
        <w:t>Format:</w:t>
      </w:r>
      <w:r>
        <w:t xml:space="preserve"> standard GIS raster file (e.g., ESRI GRID or IMG), with a column labeled ‘value’ that designates the LULC class code for each cell (e.g., 1 for forest, 3 for grassland, etc.) The LULC ‘value’ codes must match LULC class codes used in the Land Attributes table described below.  The table can have additional fields, but the only field used in this analysis is one for LULC class code.  </w:t>
      </w:r>
    </w:p>
    <w:p w:rsidR="0004680D" w:rsidRDefault="0004680D" w:rsidP="0004680D">
      <w:pPr>
        <w:ind w:left="720"/>
        <w:jc w:val="both"/>
      </w:pPr>
    </w:p>
    <w:p w:rsidR="0004680D" w:rsidRPr="008E553A" w:rsidRDefault="0004680D" w:rsidP="0004680D">
      <w:pPr>
        <w:ind w:left="720"/>
        <w:jc w:val="both"/>
      </w:pPr>
      <w:r w:rsidRPr="008E553A">
        <w:t>The model also re</w:t>
      </w:r>
      <w:r>
        <w:t>quests</w:t>
      </w:r>
      <w:r w:rsidRPr="008E553A">
        <w:t xml:space="preserve"> </w:t>
      </w:r>
      <w:r>
        <w:t>three</w:t>
      </w:r>
      <w:r w:rsidRPr="008E553A">
        <w:t xml:space="preserve"> pieces of information about this </w:t>
      </w:r>
      <w:r>
        <w:t>LULC</w:t>
      </w:r>
      <w:r w:rsidRPr="008E553A">
        <w:t xml:space="preserve"> map,</w:t>
      </w:r>
      <w:r>
        <w:t xml:space="preserve"> which are optional but will be</w:t>
      </w:r>
      <w:r w:rsidRPr="008E553A">
        <w:t xml:space="preserve"> prompt</w:t>
      </w:r>
      <w:r>
        <w:t>ed</w:t>
      </w:r>
      <w:r w:rsidRPr="008E553A">
        <w:t xml:space="preserve"> for in the interface.</w:t>
      </w:r>
    </w:p>
    <w:p w:rsidR="0004680D" w:rsidRDefault="0004680D" w:rsidP="0004680D">
      <w:pPr>
        <w:suppressAutoHyphens/>
        <w:ind w:left="1800" w:hanging="360"/>
        <w:jc w:val="both"/>
      </w:pPr>
      <w:r w:rsidRPr="00C62938">
        <w:rPr>
          <w:b/>
          <w:bCs/>
        </w:rPr>
        <w:t>a</w:t>
      </w:r>
      <w:r>
        <w:t xml:space="preserve">. </w:t>
      </w:r>
      <w:r w:rsidRPr="008E553A">
        <w:t>The year depicted by the LULC map</w:t>
      </w:r>
      <w:r>
        <w:t xml:space="preserve"> (optional). You can indicate the year of the LULC map, if known, to designate model runs performed at different time periods (i.e., future scenarios).</w:t>
      </w:r>
    </w:p>
    <w:p w:rsidR="0004680D" w:rsidRDefault="0004680D" w:rsidP="0004680D">
      <w:pPr>
        <w:suppressAutoHyphens/>
        <w:ind w:left="1800" w:hanging="360"/>
        <w:jc w:val="both"/>
      </w:pPr>
      <w:r w:rsidRPr="00C62938">
        <w:rPr>
          <w:b/>
          <w:bCs/>
        </w:rPr>
        <w:lastRenderedPageBreak/>
        <w:t>b</w:t>
      </w:r>
      <w:r>
        <w:t>. T</w:t>
      </w:r>
      <w:r w:rsidRPr="004F3E09">
        <w:t xml:space="preserve">he resolution at which the model </w:t>
      </w:r>
      <w:r>
        <w:t>should</w:t>
      </w:r>
      <w:r w:rsidRPr="004F3E09">
        <w:t xml:space="preserve"> run</w:t>
      </w:r>
      <w:r>
        <w:t xml:space="preserve"> (optional). You can indicate a</w:t>
      </w:r>
      <w:r w:rsidRPr="004F3E09">
        <w:t xml:space="preserve"> coarser </w:t>
      </w:r>
      <w:r>
        <w:t xml:space="preserve">resolution than that of the native LULC map to prompt the model to resample at this new resolution and to speed up run time. For example, you could run the model at a 200m resolution with a 30m resolution LULC map. If you leave this line blank, the model will perform the analysis at the same resolution of the native LULC map (i.e., the </w:t>
      </w:r>
      <w:r w:rsidRPr="004F3E09">
        <w:t>def</w:t>
      </w:r>
      <w:r>
        <w:t>ault). (Note: a</w:t>
      </w:r>
      <w:r w:rsidRPr="004F3E09">
        <w:t xml:space="preserve"> resolution </w:t>
      </w:r>
      <w:r>
        <w:t>that</w:t>
      </w:r>
      <w:r w:rsidRPr="004F3E09">
        <w:t xml:space="preserve"> is finer than the native resolution of the raster dataset</w:t>
      </w:r>
      <w:r>
        <w:t xml:space="preserve"> cannot be defined)</w:t>
      </w:r>
      <w:r w:rsidRPr="004F3E09">
        <w:t>.</w:t>
      </w:r>
    </w:p>
    <w:p w:rsidR="0004680D" w:rsidRDefault="0004680D" w:rsidP="0004680D">
      <w:pPr>
        <w:suppressAutoHyphens/>
        <w:ind w:left="1800" w:hanging="360"/>
        <w:jc w:val="both"/>
        <w:rPr>
          <w:bCs/>
        </w:rPr>
      </w:pPr>
      <w:r>
        <w:rPr>
          <w:b/>
          <w:bCs/>
        </w:rPr>
        <w:t>c</w:t>
      </w:r>
      <w:r w:rsidRPr="002D4629">
        <w:t>.</w:t>
      </w:r>
      <w:r>
        <w:t xml:space="preserve"> Agricultural land cover and land use classes (optional).  You can specify LULC classes that represent agricultural parcels dependent upon or that benefit from pollination by bees. Doing so will restrict the calculation of pollinator abundance to only the designated farms. </w:t>
      </w:r>
      <w:r w:rsidRPr="00CA333F">
        <w:t xml:space="preserve">Enter the LULC values in the format 2;9;13;etc. </w:t>
      </w:r>
      <w:r>
        <w:t xml:space="preserve">If you do not specify agricultural classes then a farm abundance map will be calculated for the entire landscape (the default).  Refer to Klein </w:t>
      </w:r>
      <w:r w:rsidRPr="00024A86">
        <w:rPr>
          <w:i/>
        </w:rPr>
        <w:t>et al.</w:t>
      </w:r>
      <w:r>
        <w:t xml:space="preserve"> 2007 for a list of </w:t>
      </w:r>
      <w:r>
        <w:rPr>
          <w:bCs/>
        </w:rPr>
        <w:t xml:space="preserve">crops and their level of pollinator-dependency.  </w:t>
      </w:r>
    </w:p>
    <w:p w:rsidR="0004680D" w:rsidRDefault="0004680D" w:rsidP="0004680D">
      <w:pPr>
        <w:ind w:left="720"/>
        <w:jc w:val="both"/>
        <w:rPr>
          <w:b/>
        </w:rPr>
      </w:pPr>
      <w:r w:rsidRPr="00404F57">
        <w:rPr>
          <w:b/>
          <w:u w:val="single"/>
        </w:rPr>
        <w:t>Sample data set</w:t>
      </w:r>
      <w:r w:rsidRPr="004F3E09">
        <w:rPr>
          <w:b/>
        </w:rPr>
        <w:t xml:space="preserve">:  </w:t>
      </w:r>
      <w:r w:rsidRPr="004F3E09">
        <w:t>\Invest\base_dat</w:t>
      </w:r>
      <w:r>
        <w:t>a\</w:t>
      </w:r>
      <w:r>
        <w:rPr>
          <w:b/>
        </w:rPr>
        <w:t>lulc_samp_cur</w:t>
      </w:r>
    </w:p>
    <w:p w:rsidR="0004680D" w:rsidRDefault="0004680D" w:rsidP="0004680D">
      <w:pPr>
        <w:ind w:left="720"/>
        <w:jc w:val="both"/>
        <w:rPr>
          <w:b/>
        </w:rPr>
      </w:pPr>
    </w:p>
    <w:p w:rsidR="0004680D" w:rsidRDefault="0004680D" w:rsidP="0004680D">
      <w:pPr>
        <w:numPr>
          <w:ilvl w:val="0"/>
          <w:numId w:val="4"/>
        </w:numPr>
        <w:suppressAutoHyphens/>
        <w:ind w:left="540"/>
        <w:jc w:val="both"/>
      </w:pPr>
      <w:r>
        <w:rPr>
          <w:b/>
        </w:rPr>
        <w:t>Table of p</w:t>
      </w:r>
      <w:r w:rsidRPr="0027755F">
        <w:rPr>
          <w:b/>
        </w:rPr>
        <w:t>ollinator species</w:t>
      </w:r>
      <w:r>
        <w:rPr>
          <w:b/>
        </w:rPr>
        <w:t xml:space="preserve"> or </w:t>
      </w:r>
      <w:r w:rsidRPr="0027755F">
        <w:rPr>
          <w:b/>
        </w:rPr>
        <w:t>guilds</w:t>
      </w:r>
      <w:r>
        <w:rPr>
          <w:b/>
        </w:rPr>
        <w:t xml:space="preserve"> (required)</w:t>
      </w:r>
      <w:r>
        <w:t>.</w:t>
      </w:r>
      <w:r w:rsidRPr="003C0AFB">
        <w:t xml:space="preserve"> </w:t>
      </w:r>
      <w:r>
        <w:t>A table containing information on each species or guild of pollinator to be modeled. Guild refers to a group of bee species that show the same nesting behavior, whether preferring to build nests in the ground, in tree cavities, or other habitat features. If multiple species are known to be important pollinators, and if they differ in terms of flight season, nesting requirements, or flight distance, provide data on each separately. If little or no data are available, create a single ‘proto-pollinator,’ with data taken from average values or expert opinion about the whole pollinator community.</w:t>
      </w:r>
    </w:p>
    <w:p w:rsidR="0004680D" w:rsidRDefault="0004680D" w:rsidP="0004680D">
      <w:pPr>
        <w:ind w:left="1080"/>
        <w:jc w:val="both"/>
      </w:pPr>
      <w:r w:rsidRPr="003C3062">
        <w:rPr>
          <w:u w:val="single"/>
        </w:rPr>
        <w:t>Name</w:t>
      </w:r>
      <w:r>
        <w:t>: file can be named anything</w:t>
      </w:r>
    </w:p>
    <w:p w:rsidR="0004680D" w:rsidRDefault="0004680D" w:rsidP="0004680D">
      <w:pPr>
        <w:ind w:left="1080"/>
        <w:jc w:val="both"/>
      </w:pPr>
      <w:r>
        <w:rPr>
          <w:u w:val="single"/>
        </w:rPr>
        <w:t>File Type</w:t>
      </w:r>
      <w:r w:rsidRPr="00B10575">
        <w:t>:</w:t>
      </w:r>
      <w:r>
        <w:t xml:space="preserve"> *.dbf, Excel worksheets (*.xls, .xlsx), or Ms Access tables (*.mdb, .accdb).  If using ArcGIS 9.2x then you will need to use .xls or .mdb files.  Excel 2007 (.xlsx) and Ms Access 2007 (.accdb) files will only work with ArcGIS 9.3x.</w:t>
      </w:r>
    </w:p>
    <w:p w:rsidR="0004680D" w:rsidRDefault="0004680D" w:rsidP="0004680D">
      <w:pPr>
        <w:ind w:left="1080"/>
        <w:jc w:val="both"/>
      </w:pPr>
      <w:r w:rsidRPr="003C3062">
        <w:rPr>
          <w:u w:val="single"/>
        </w:rPr>
        <w:t>Rows</w:t>
      </w:r>
      <w:r>
        <w:t>: each row is a unique species or guild of pollinator.</w:t>
      </w:r>
    </w:p>
    <w:p w:rsidR="0004680D" w:rsidRDefault="0004680D" w:rsidP="0004680D">
      <w:pPr>
        <w:ind w:left="1080"/>
        <w:jc w:val="both"/>
      </w:pPr>
      <w:r w:rsidRPr="003C3062">
        <w:rPr>
          <w:u w:val="single"/>
        </w:rPr>
        <w:t>Columns</w:t>
      </w:r>
      <w:r>
        <w:t>: columns contain data on each species or guild. Column order doesn’t matter, but columns must be named as follows (italicized portions of names can be customized for meaning, but must be consistent with names in other tables):</w:t>
      </w:r>
    </w:p>
    <w:p w:rsidR="0004680D" w:rsidRDefault="0004680D" w:rsidP="0004680D">
      <w:pPr>
        <w:numPr>
          <w:ilvl w:val="0"/>
          <w:numId w:val="1"/>
        </w:numPr>
        <w:ind w:left="1800"/>
        <w:jc w:val="both"/>
      </w:pPr>
      <w:r w:rsidRPr="006A74EB">
        <w:rPr>
          <w:i/>
        </w:rPr>
        <w:t>Species</w:t>
      </w:r>
      <w:r>
        <w:t xml:space="preserve">: Name of species or guild (Note: species names can be numerical codes or names. The model will produce outputs coded by the first 4 characters of each species name (e.g., Andr for </w:t>
      </w:r>
      <w:r w:rsidRPr="002873F4">
        <w:t>Andrena nivalis</w:t>
      </w:r>
      <w:r>
        <w:t>), thus, each species or guild should be uniquely identifiable at 4 characters. If species or guild are not uniqueluely identifiable at 4 characters then the model will truncate the names at 3 and at a digit).</w:t>
      </w:r>
    </w:p>
    <w:p w:rsidR="0004680D" w:rsidRPr="00FF6826" w:rsidRDefault="0004680D" w:rsidP="0004680D">
      <w:pPr>
        <w:numPr>
          <w:ilvl w:val="0"/>
          <w:numId w:val="1"/>
        </w:numPr>
        <w:ind w:left="1800"/>
        <w:jc w:val="both"/>
      </w:pPr>
      <w:r>
        <w:t>NS_</w:t>
      </w:r>
      <w:r w:rsidRPr="00257B61">
        <w:rPr>
          <w:i/>
        </w:rPr>
        <w:t>nest1</w:t>
      </w:r>
      <w:r w:rsidRPr="00257B61">
        <w:t xml:space="preserve">, </w:t>
      </w:r>
      <w:r>
        <w:t>NS_</w:t>
      </w:r>
      <w:r w:rsidRPr="00257B61">
        <w:rPr>
          <w:i/>
        </w:rPr>
        <w:t>nest2</w:t>
      </w:r>
      <w:r w:rsidRPr="00257B61">
        <w:t>, etc.:</w:t>
      </w:r>
      <w:r>
        <w:t xml:space="preserve"> N</w:t>
      </w:r>
      <w:r w:rsidRPr="00257B61">
        <w:t>est</w:t>
      </w:r>
      <w:r>
        <w:t>ing</w:t>
      </w:r>
      <w:r w:rsidRPr="00257B61">
        <w:t xml:space="preserve"> </w:t>
      </w:r>
      <w:r>
        <w:t xml:space="preserve">guilds of </w:t>
      </w:r>
      <w:r w:rsidRPr="00257B61">
        <w:t>each pollinator</w:t>
      </w:r>
      <w:r>
        <w:t xml:space="preserve">. Values should be entered either as 0 or 1, with 1 indicating a nesting type that is utilized and 0 indicating a non-utilized nest type.  If a pollinator falls within multiple nesting guilds, then indicate 1s for all compatible nest types. </w:t>
      </w:r>
      <w:r w:rsidRPr="00FF6826">
        <w:t>Nesting types might be ground nests, tree cavities, etc.</w:t>
      </w:r>
    </w:p>
    <w:p w:rsidR="0004680D" w:rsidRDefault="0004680D" w:rsidP="0004680D">
      <w:pPr>
        <w:numPr>
          <w:ilvl w:val="0"/>
          <w:numId w:val="1"/>
        </w:numPr>
        <w:ind w:left="1800"/>
        <w:jc w:val="both"/>
      </w:pPr>
      <w:r>
        <w:t>FS_</w:t>
      </w:r>
      <w:r>
        <w:rPr>
          <w:i/>
        </w:rPr>
        <w:t>season1</w:t>
      </w:r>
      <w:r>
        <w:t>, FS_</w:t>
      </w:r>
      <w:r>
        <w:rPr>
          <w:i/>
        </w:rPr>
        <w:t>season2</w:t>
      </w:r>
      <w:r>
        <w:t xml:space="preserve">, etc.: Pollinator activity by floral season (i.e., flight season). Values should be entered on a scale of 0 to 1, with 1 indicating the time of highest activity for the guild or species, and 0 indicating no activity. </w:t>
      </w:r>
      <w:r w:rsidRPr="00B10575">
        <w:lastRenderedPageBreak/>
        <w:t>Intermediate proportions indicate the r</w:t>
      </w:r>
      <w:r>
        <w:t xml:space="preserve">elative seasonal activity. </w:t>
      </w:r>
      <w:r w:rsidRPr="00B10575">
        <w:t>Activity level by a given species over all seasons should sum to 1.</w:t>
      </w:r>
      <w:r>
        <w:t xml:space="preserve"> Create a different column for each season. Seasons might be spring, summer, fall; wet, dry, etc.</w:t>
      </w:r>
    </w:p>
    <w:p w:rsidR="0004680D" w:rsidRDefault="0004680D" w:rsidP="0004680D">
      <w:pPr>
        <w:numPr>
          <w:ilvl w:val="0"/>
          <w:numId w:val="1"/>
        </w:numPr>
        <w:ind w:left="1800"/>
        <w:jc w:val="both"/>
      </w:pPr>
      <w:r w:rsidRPr="006A74EB">
        <w:rPr>
          <w:i/>
        </w:rPr>
        <w:t>Alpha</w:t>
      </w:r>
      <w:r w:rsidRPr="00257B61">
        <w:t xml:space="preserve">: </w:t>
      </w:r>
      <w:r>
        <w:t>average</w:t>
      </w:r>
      <w:r w:rsidRPr="00257B61">
        <w:t xml:space="preserve"> </w:t>
      </w:r>
      <w:r>
        <w:t xml:space="preserve">(or typical) </w:t>
      </w:r>
      <w:r w:rsidRPr="00257B61">
        <w:t>distance each species</w:t>
      </w:r>
      <w:r>
        <w:t xml:space="preserve"> or </w:t>
      </w:r>
      <w:r w:rsidRPr="00257B61">
        <w:t xml:space="preserve">guild </w:t>
      </w:r>
      <w:r>
        <w:t>travels to forage on flowers, specified i</w:t>
      </w:r>
      <w:r w:rsidRPr="00257B61">
        <w:t>n meters.</w:t>
      </w:r>
      <w:r>
        <w:t xml:space="preserve"> InVEST uses this estimated distance to define the neighborhood of available flowers around a given cell, and to weight the sums of floral resources and pollinator abundances on farms. You can determine typical foraging distance of a bee species based on a simple allometric relationship with body size (see Greenleaf </w:t>
      </w:r>
      <w:r w:rsidRPr="00024A86">
        <w:rPr>
          <w:i/>
        </w:rPr>
        <w:t>et al.</w:t>
      </w:r>
      <w:r>
        <w:t xml:space="preserve"> 2007).</w:t>
      </w:r>
    </w:p>
    <w:p w:rsidR="0004680D" w:rsidRDefault="0004680D" w:rsidP="0004680D">
      <w:pPr>
        <w:jc w:val="both"/>
        <w:rPr>
          <w:b/>
        </w:rPr>
      </w:pPr>
      <w:r w:rsidRPr="00404F57">
        <w:rPr>
          <w:b/>
          <w:u w:val="single"/>
        </w:rPr>
        <w:t>Sample data set</w:t>
      </w:r>
      <w:r w:rsidRPr="004F3E09">
        <w:rPr>
          <w:b/>
        </w:rPr>
        <w:t>:</w:t>
      </w:r>
      <w:r>
        <w:rPr>
          <w:b/>
        </w:rPr>
        <w:t xml:space="preserve">  </w:t>
      </w:r>
      <w:r>
        <w:t>\Invest\pollination\input\</w:t>
      </w:r>
      <w:r>
        <w:rPr>
          <w:b/>
        </w:rPr>
        <w:t>Guild.dbf</w:t>
      </w:r>
    </w:p>
    <w:p w:rsidR="0004680D" w:rsidRDefault="0004680D" w:rsidP="0004680D">
      <w:pPr>
        <w:jc w:val="both"/>
      </w:pPr>
    </w:p>
    <w:p w:rsidR="0004680D" w:rsidRDefault="0004680D" w:rsidP="0004680D">
      <w:pPr>
        <w:ind w:left="720"/>
        <w:jc w:val="both"/>
      </w:pPr>
      <w:r w:rsidRPr="007A7C73">
        <w:rPr>
          <w:u w:val="single"/>
        </w:rPr>
        <w:t>Example</w:t>
      </w:r>
      <w:r>
        <w:t>: A hypothetical study with four species. There are two main nesting types, “cavity” and “ground.” Species A is exclusively a cavity nester, species B and D are exclusively ground nesters, and species C uses both nest types. There is only a single flowering season, “Allyear,” in which all species are active. Typical flight distances, specified in meters (Alpha), vary widely among species.</w:t>
      </w:r>
    </w:p>
    <w:p w:rsidR="0004680D" w:rsidRPr="003F05E0" w:rsidRDefault="0004680D" w:rsidP="0004680D">
      <w:pPr>
        <w:ind w:left="720"/>
        <w:jc w:val="both"/>
      </w:pPr>
    </w:p>
    <w:tbl>
      <w:tblPr>
        <w:tblW w:w="5474" w:type="dxa"/>
        <w:jc w:val="center"/>
        <w:tblInd w:w="1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8"/>
        <w:gridCol w:w="1173"/>
        <w:gridCol w:w="1294"/>
        <w:gridCol w:w="1217"/>
        <w:gridCol w:w="772"/>
      </w:tblGrid>
      <w:tr w:rsidR="0004680D" w:rsidRPr="00AD4EA9" w:rsidTr="00C76404">
        <w:trPr>
          <w:trHeight w:val="255"/>
          <w:jc w:val="center"/>
        </w:trPr>
        <w:tc>
          <w:tcPr>
            <w:tcW w:w="1018" w:type="dxa"/>
            <w:shd w:val="clear" w:color="auto" w:fill="99CCFF"/>
            <w:noWrap/>
            <w:vAlign w:val="bottom"/>
          </w:tcPr>
          <w:p w:rsidR="0004680D" w:rsidRPr="00C6122A" w:rsidRDefault="0004680D" w:rsidP="00C76404">
            <w:pPr>
              <w:jc w:val="center"/>
              <w:rPr>
                <w:rFonts w:cs="Arial"/>
                <w:b/>
                <w:bCs/>
                <w:sz w:val="20"/>
                <w:szCs w:val="20"/>
              </w:rPr>
            </w:pPr>
            <w:r w:rsidRPr="00C6122A">
              <w:rPr>
                <w:rFonts w:cs="Arial"/>
                <w:b/>
                <w:bCs/>
                <w:sz w:val="20"/>
                <w:szCs w:val="20"/>
              </w:rPr>
              <w:t>Species</w:t>
            </w:r>
          </w:p>
        </w:tc>
        <w:tc>
          <w:tcPr>
            <w:tcW w:w="1173" w:type="dxa"/>
            <w:shd w:val="clear" w:color="auto" w:fill="99CCFF"/>
            <w:vAlign w:val="bottom"/>
          </w:tcPr>
          <w:p w:rsidR="0004680D" w:rsidRPr="00C6122A" w:rsidRDefault="0004680D" w:rsidP="00C76404">
            <w:pPr>
              <w:jc w:val="center"/>
              <w:rPr>
                <w:rFonts w:cs="Arial"/>
                <w:b/>
                <w:bCs/>
                <w:sz w:val="20"/>
                <w:szCs w:val="20"/>
              </w:rPr>
            </w:pPr>
            <w:r w:rsidRPr="00C6122A">
              <w:rPr>
                <w:rFonts w:cs="Arial"/>
                <w:b/>
                <w:bCs/>
                <w:sz w:val="20"/>
                <w:szCs w:val="20"/>
              </w:rPr>
              <w:t>NS_cavity</w:t>
            </w:r>
          </w:p>
        </w:tc>
        <w:tc>
          <w:tcPr>
            <w:tcW w:w="1294" w:type="dxa"/>
            <w:shd w:val="clear" w:color="auto" w:fill="99CCFF"/>
            <w:vAlign w:val="bottom"/>
          </w:tcPr>
          <w:p w:rsidR="0004680D" w:rsidRPr="00C6122A" w:rsidRDefault="0004680D" w:rsidP="00C76404">
            <w:pPr>
              <w:jc w:val="center"/>
              <w:rPr>
                <w:rFonts w:cs="Arial"/>
                <w:b/>
                <w:bCs/>
                <w:sz w:val="20"/>
                <w:szCs w:val="20"/>
              </w:rPr>
            </w:pPr>
            <w:r w:rsidRPr="00C6122A">
              <w:rPr>
                <w:rFonts w:cs="Arial"/>
                <w:b/>
                <w:bCs/>
                <w:sz w:val="20"/>
                <w:szCs w:val="20"/>
              </w:rPr>
              <w:t>NS_ground</w:t>
            </w:r>
          </w:p>
        </w:tc>
        <w:tc>
          <w:tcPr>
            <w:tcW w:w="1217" w:type="dxa"/>
            <w:shd w:val="clear" w:color="auto" w:fill="99CCFF"/>
            <w:vAlign w:val="bottom"/>
          </w:tcPr>
          <w:p w:rsidR="0004680D" w:rsidRPr="00C6122A" w:rsidRDefault="0004680D" w:rsidP="00C76404">
            <w:pPr>
              <w:jc w:val="center"/>
              <w:rPr>
                <w:rFonts w:cs="Arial"/>
                <w:b/>
                <w:bCs/>
                <w:sz w:val="20"/>
                <w:szCs w:val="20"/>
              </w:rPr>
            </w:pPr>
            <w:r w:rsidRPr="00C6122A">
              <w:rPr>
                <w:rFonts w:cs="Arial"/>
                <w:b/>
                <w:bCs/>
                <w:sz w:val="20"/>
                <w:szCs w:val="20"/>
              </w:rPr>
              <w:t>FS_allyear</w:t>
            </w:r>
          </w:p>
        </w:tc>
        <w:tc>
          <w:tcPr>
            <w:tcW w:w="772" w:type="dxa"/>
            <w:shd w:val="clear" w:color="auto" w:fill="99CCFF"/>
            <w:vAlign w:val="bottom"/>
          </w:tcPr>
          <w:p w:rsidR="0004680D" w:rsidRPr="00C6122A" w:rsidRDefault="0004680D" w:rsidP="00C76404">
            <w:pPr>
              <w:jc w:val="center"/>
              <w:rPr>
                <w:rFonts w:cs="Arial"/>
                <w:b/>
                <w:bCs/>
                <w:sz w:val="20"/>
                <w:szCs w:val="20"/>
              </w:rPr>
            </w:pPr>
            <w:r w:rsidRPr="00C6122A">
              <w:rPr>
                <w:rFonts w:cs="Arial"/>
                <w:b/>
                <w:bCs/>
                <w:sz w:val="20"/>
                <w:szCs w:val="20"/>
              </w:rPr>
              <w:t>Alpha</w:t>
            </w:r>
          </w:p>
        </w:tc>
      </w:tr>
      <w:tr w:rsidR="0004680D" w:rsidRPr="00AD4EA9" w:rsidTr="00C76404">
        <w:trPr>
          <w:trHeight w:val="255"/>
          <w:jc w:val="center"/>
        </w:trPr>
        <w:tc>
          <w:tcPr>
            <w:tcW w:w="1018" w:type="dxa"/>
            <w:tcBorders>
              <w:bottom w:val="single" w:sz="4" w:space="0" w:color="auto"/>
            </w:tcBorders>
            <w:shd w:val="clear" w:color="auto" w:fill="auto"/>
            <w:noWrap/>
            <w:vAlign w:val="bottom"/>
          </w:tcPr>
          <w:p w:rsidR="0004680D" w:rsidRPr="00C6122A" w:rsidRDefault="0004680D" w:rsidP="00C76404">
            <w:pPr>
              <w:jc w:val="center"/>
              <w:rPr>
                <w:rFonts w:cs="Arial"/>
                <w:sz w:val="20"/>
                <w:szCs w:val="20"/>
              </w:rPr>
            </w:pPr>
            <w:r w:rsidRPr="00C6122A">
              <w:rPr>
                <w:rFonts w:cs="Arial"/>
                <w:sz w:val="20"/>
                <w:szCs w:val="20"/>
              </w:rPr>
              <w:t>A</w:t>
            </w:r>
          </w:p>
        </w:tc>
        <w:tc>
          <w:tcPr>
            <w:tcW w:w="1173"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1</w:t>
            </w:r>
          </w:p>
        </w:tc>
        <w:tc>
          <w:tcPr>
            <w:tcW w:w="1294"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0</w:t>
            </w:r>
          </w:p>
        </w:tc>
        <w:tc>
          <w:tcPr>
            <w:tcW w:w="1217"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1</w:t>
            </w:r>
          </w:p>
        </w:tc>
        <w:tc>
          <w:tcPr>
            <w:tcW w:w="772"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1490</w:t>
            </w:r>
          </w:p>
        </w:tc>
      </w:tr>
      <w:tr w:rsidR="0004680D" w:rsidRPr="00AD4EA9" w:rsidTr="00C76404">
        <w:trPr>
          <w:trHeight w:val="255"/>
          <w:jc w:val="center"/>
        </w:trPr>
        <w:tc>
          <w:tcPr>
            <w:tcW w:w="1018" w:type="dxa"/>
            <w:shd w:val="clear" w:color="auto" w:fill="DDDDDD"/>
            <w:noWrap/>
            <w:vAlign w:val="bottom"/>
          </w:tcPr>
          <w:p w:rsidR="0004680D" w:rsidRPr="00C6122A" w:rsidRDefault="0004680D" w:rsidP="00C76404">
            <w:pPr>
              <w:jc w:val="center"/>
              <w:rPr>
                <w:rFonts w:cs="Arial"/>
                <w:sz w:val="20"/>
                <w:szCs w:val="20"/>
              </w:rPr>
            </w:pPr>
            <w:r w:rsidRPr="00C6122A">
              <w:rPr>
                <w:rFonts w:cs="Arial"/>
                <w:sz w:val="20"/>
                <w:szCs w:val="20"/>
              </w:rPr>
              <w:t>B</w:t>
            </w:r>
          </w:p>
        </w:tc>
        <w:tc>
          <w:tcPr>
            <w:tcW w:w="1173"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0</w:t>
            </w:r>
          </w:p>
        </w:tc>
        <w:tc>
          <w:tcPr>
            <w:tcW w:w="1294"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1</w:t>
            </w:r>
          </w:p>
        </w:tc>
        <w:tc>
          <w:tcPr>
            <w:tcW w:w="1217"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1</w:t>
            </w:r>
          </w:p>
        </w:tc>
        <w:tc>
          <w:tcPr>
            <w:tcW w:w="772"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38</w:t>
            </w:r>
          </w:p>
        </w:tc>
      </w:tr>
      <w:tr w:rsidR="0004680D" w:rsidRPr="00AD4EA9" w:rsidTr="00C76404">
        <w:trPr>
          <w:trHeight w:val="255"/>
          <w:jc w:val="center"/>
        </w:trPr>
        <w:tc>
          <w:tcPr>
            <w:tcW w:w="1018" w:type="dxa"/>
            <w:tcBorders>
              <w:bottom w:val="single" w:sz="4" w:space="0" w:color="auto"/>
            </w:tcBorders>
            <w:shd w:val="clear" w:color="auto" w:fill="auto"/>
            <w:noWrap/>
            <w:vAlign w:val="bottom"/>
          </w:tcPr>
          <w:p w:rsidR="0004680D" w:rsidRPr="00C6122A" w:rsidRDefault="0004680D" w:rsidP="00C76404">
            <w:pPr>
              <w:jc w:val="center"/>
              <w:rPr>
                <w:rFonts w:cs="Arial"/>
                <w:sz w:val="20"/>
                <w:szCs w:val="20"/>
              </w:rPr>
            </w:pPr>
            <w:r w:rsidRPr="00C6122A">
              <w:rPr>
                <w:rFonts w:cs="Arial"/>
                <w:sz w:val="20"/>
                <w:szCs w:val="20"/>
              </w:rPr>
              <w:t>C</w:t>
            </w:r>
          </w:p>
        </w:tc>
        <w:tc>
          <w:tcPr>
            <w:tcW w:w="1173" w:type="dxa"/>
            <w:tcBorders>
              <w:bottom w:val="single" w:sz="4" w:space="0" w:color="auto"/>
            </w:tcBorders>
            <w:vAlign w:val="bottom"/>
          </w:tcPr>
          <w:p w:rsidR="0004680D" w:rsidRPr="00C6122A" w:rsidRDefault="0004680D" w:rsidP="00C76404">
            <w:pPr>
              <w:jc w:val="center"/>
              <w:rPr>
                <w:rFonts w:cs="Arial"/>
                <w:sz w:val="20"/>
                <w:szCs w:val="20"/>
              </w:rPr>
            </w:pPr>
            <w:r>
              <w:rPr>
                <w:rFonts w:cs="Arial"/>
                <w:sz w:val="20"/>
                <w:szCs w:val="20"/>
              </w:rPr>
              <w:t>1</w:t>
            </w:r>
          </w:p>
        </w:tc>
        <w:tc>
          <w:tcPr>
            <w:tcW w:w="1294" w:type="dxa"/>
            <w:tcBorders>
              <w:bottom w:val="single" w:sz="4" w:space="0" w:color="auto"/>
            </w:tcBorders>
            <w:vAlign w:val="bottom"/>
          </w:tcPr>
          <w:p w:rsidR="0004680D" w:rsidRPr="00C6122A" w:rsidRDefault="0004680D" w:rsidP="00C76404">
            <w:pPr>
              <w:jc w:val="center"/>
              <w:rPr>
                <w:rFonts w:cs="Arial"/>
                <w:sz w:val="20"/>
                <w:szCs w:val="20"/>
              </w:rPr>
            </w:pPr>
            <w:r>
              <w:rPr>
                <w:rFonts w:cs="Arial"/>
                <w:sz w:val="20"/>
                <w:szCs w:val="20"/>
              </w:rPr>
              <w:t>1</w:t>
            </w:r>
          </w:p>
        </w:tc>
        <w:tc>
          <w:tcPr>
            <w:tcW w:w="1217"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1</w:t>
            </w:r>
          </w:p>
        </w:tc>
        <w:tc>
          <w:tcPr>
            <w:tcW w:w="772" w:type="dxa"/>
            <w:tcBorders>
              <w:bottom w:val="single" w:sz="4" w:space="0" w:color="auto"/>
            </w:tcBorders>
            <w:vAlign w:val="bottom"/>
          </w:tcPr>
          <w:p w:rsidR="0004680D" w:rsidRPr="00C6122A" w:rsidRDefault="0004680D" w:rsidP="00C76404">
            <w:pPr>
              <w:jc w:val="center"/>
              <w:rPr>
                <w:rFonts w:cs="Arial"/>
                <w:sz w:val="20"/>
                <w:szCs w:val="20"/>
              </w:rPr>
            </w:pPr>
            <w:r w:rsidRPr="00C6122A">
              <w:rPr>
                <w:rFonts w:cs="Arial"/>
                <w:sz w:val="20"/>
                <w:szCs w:val="20"/>
              </w:rPr>
              <w:t>890</w:t>
            </w:r>
          </w:p>
        </w:tc>
      </w:tr>
      <w:tr w:rsidR="0004680D" w:rsidRPr="00AD4EA9" w:rsidTr="00C76404">
        <w:trPr>
          <w:trHeight w:val="255"/>
          <w:jc w:val="center"/>
        </w:trPr>
        <w:tc>
          <w:tcPr>
            <w:tcW w:w="1018" w:type="dxa"/>
            <w:shd w:val="clear" w:color="auto" w:fill="DDDDDD"/>
            <w:noWrap/>
            <w:vAlign w:val="bottom"/>
          </w:tcPr>
          <w:p w:rsidR="0004680D" w:rsidRPr="00C6122A" w:rsidRDefault="0004680D" w:rsidP="00C76404">
            <w:pPr>
              <w:jc w:val="center"/>
              <w:rPr>
                <w:rFonts w:cs="Arial"/>
                <w:sz w:val="20"/>
                <w:szCs w:val="20"/>
              </w:rPr>
            </w:pPr>
            <w:r w:rsidRPr="00C6122A">
              <w:rPr>
                <w:rFonts w:cs="Arial"/>
                <w:sz w:val="20"/>
                <w:szCs w:val="20"/>
              </w:rPr>
              <w:t>D</w:t>
            </w:r>
          </w:p>
        </w:tc>
        <w:tc>
          <w:tcPr>
            <w:tcW w:w="1173"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0</w:t>
            </w:r>
          </w:p>
        </w:tc>
        <w:tc>
          <w:tcPr>
            <w:tcW w:w="1294"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1</w:t>
            </w:r>
          </w:p>
        </w:tc>
        <w:tc>
          <w:tcPr>
            <w:tcW w:w="1217"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1</w:t>
            </w:r>
          </w:p>
        </w:tc>
        <w:tc>
          <w:tcPr>
            <w:tcW w:w="772" w:type="dxa"/>
            <w:shd w:val="clear" w:color="auto" w:fill="DDDDDD"/>
            <w:vAlign w:val="bottom"/>
          </w:tcPr>
          <w:p w:rsidR="0004680D" w:rsidRPr="00C6122A" w:rsidRDefault="0004680D" w:rsidP="00C76404">
            <w:pPr>
              <w:jc w:val="center"/>
              <w:rPr>
                <w:rFonts w:cs="Arial"/>
                <w:sz w:val="20"/>
                <w:szCs w:val="20"/>
              </w:rPr>
            </w:pPr>
            <w:r w:rsidRPr="00C6122A">
              <w:rPr>
                <w:rFonts w:cs="Arial"/>
                <w:sz w:val="20"/>
                <w:szCs w:val="20"/>
              </w:rPr>
              <w:t>84</w:t>
            </w:r>
          </w:p>
        </w:tc>
      </w:tr>
    </w:tbl>
    <w:p w:rsidR="0004680D" w:rsidRDefault="0004680D" w:rsidP="0004680D">
      <w:pPr>
        <w:jc w:val="both"/>
      </w:pPr>
    </w:p>
    <w:p w:rsidR="0004680D" w:rsidRDefault="0004680D" w:rsidP="0004680D">
      <w:pPr>
        <w:numPr>
          <w:ilvl w:val="0"/>
          <w:numId w:val="4"/>
        </w:numPr>
        <w:ind w:left="540"/>
        <w:jc w:val="both"/>
      </w:pPr>
      <w:r>
        <w:rPr>
          <w:b/>
        </w:rPr>
        <w:t xml:space="preserve">Table of land cover </w:t>
      </w:r>
      <w:r w:rsidRPr="00E80A40">
        <w:rPr>
          <w:b/>
        </w:rPr>
        <w:t>attributes</w:t>
      </w:r>
      <w:r>
        <w:rPr>
          <w:b/>
        </w:rPr>
        <w:t xml:space="preserve"> (required)</w:t>
      </w:r>
      <w:r>
        <w:t>. A table containing data on each class in the LULC map (as described above in #1). Data needed are relative indices (0-1), not absolute numbers. Data can be summarized from field surveys, or obtained by expert assessment if field data is unavailable.</w:t>
      </w:r>
    </w:p>
    <w:p w:rsidR="0004680D" w:rsidRDefault="0004680D" w:rsidP="0004680D">
      <w:pPr>
        <w:ind w:left="1080"/>
        <w:jc w:val="both"/>
      </w:pPr>
      <w:r w:rsidRPr="003F05E0">
        <w:rPr>
          <w:u w:val="single"/>
        </w:rPr>
        <w:t>Name</w:t>
      </w:r>
      <w:r>
        <w:t>: file can be named anything</w:t>
      </w:r>
    </w:p>
    <w:p w:rsidR="0004680D" w:rsidRDefault="0004680D" w:rsidP="0004680D">
      <w:pPr>
        <w:ind w:left="1080"/>
        <w:jc w:val="both"/>
      </w:pPr>
      <w:r>
        <w:rPr>
          <w:u w:val="single"/>
        </w:rPr>
        <w:t>File type</w:t>
      </w:r>
      <w:r w:rsidRPr="00B10575">
        <w:t>:</w:t>
      </w:r>
      <w:r>
        <w:t xml:space="preserve">  *.dbf, Excel worksheets (*.xls, .xlsx), or Ms Access tables (*.mdb, .accdb).  If using ArcGIS 9.2x then you will need to use .xls or .mdb files.  Excel 2007 (.xlsx) and Ms Access 2007 (.accdb) files will only work with ArcGIS 9.3x.</w:t>
      </w:r>
    </w:p>
    <w:p w:rsidR="0004680D" w:rsidRDefault="0004680D" w:rsidP="0004680D">
      <w:pPr>
        <w:ind w:left="1080"/>
        <w:jc w:val="both"/>
      </w:pPr>
      <w:r w:rsidRPr="003F05E0">
        <w:rPr>
          <w:u w:val="single"/>
        </w:rPr>
        <w:t>Rows</w:t>
      </w:r>
      <w:r>
        <w:t>: each row is a different LULC class.</w:t>
      </w:r>
    </w:p>
    <w:p w:rsidR="0004680D" w:rsidRDefault="0004680D" w:rsidP="0004680D">
      <w:pPr>
        <w:ind w:left="1080"/>
        <w:jc w:val="both"/>
      </w:pPr>
      <w:r w:rsidRPr="003F05E0">
        <w:rPr>
          <w:u w:val="single"/>
        </w:rPr>
        <w:t>Columns</w:t>
      </w:r>
      <w:r>
        <w:t>: each column contains a different attribute of each LULC class, and must be named as follows:</w:t>
      </w:r>
    </w:p>
    <w:p w:rsidR="0004680D" w:rsidRDefault="0004680D" w:rsidP="0004680D">
      <w:pPr>
        <w:numPr>
          <w:ilvl w:val="0"/>
          <w:numId w:val="2"/>
        </w:numPr>
        <w:ind w:left="1800"/>
        <w:jc w:val="both"/>
      </w:pPr>
      <w:r w:rsidRPr="006731C7">
        <w:rPr>
          <w:i/>
        </w:rPr>
        <w:t>LULC</w:t>
      </w:r>
      <w:r>
        <w:t>: Land use and land cover class code. LULC codes match the ‘values’ column in the LULC raster and must be numeric, in consecutive order, and unique.</w:t>
      </w:r>
    </w:p>
    <w:p w:rsidR="0004680D" w:rsidRDefault="0004680D" w:rsidP="0004680D">
      <w:pPr>
        <w:numPr>
          <w:ilvl w:val="0"/>
          <w:numId w:val="2"/>
        </w:numPr>
        <w:ind w:left="1800"/>
        <w:jc w:val="both"/>
      </w:pPr>
      <w:r w:rsidRPr="00101914">
        <w:rPr>
          <w:i/>
        </w:rPr>
        <w:t>LULCname</w:t>
      </w:r>
      <w:r>
        <w:t xml:space="preserve">: Descriptive name of LULC class (optional). </w:t>
      </w:r>
    </w:p>
    <w:p w:rsidR="0004680D" w:rsidRPr="0016393F" w:rsidRDefault="0004680D" w:rsidP="0004680D">
      <w:pPr>
        <w:numPr>
          <w:ilvl w:val="0"/>
          <w:numId w:val="2"/>
        </w:numPr>
        <w:ind w:left="1800"/>
        <w:jc w:val="both"/>
      </w:pPr>
      <w:r w:rsidRPr="003F05E0">
        <w:t>N</w:t>
      </w:r>
      <w:r w:rsidRPr="00101914">
        <w:rPr>
          <w:i/>
        </w:rPr>
        <w:t>_nest</w:t>
      </w:r>
      <w:r w:rsidRPr="003F05E0">
        <w:rPr>
          <w:i/>
        </w:rPr>
        <w:t>1</w:t>
      </w:r>
      <w:r w:rsidRPr="003F05E0">
        <w:t>, N</w:t>
      </w:r>
      <w:r w:rsidRPr="00101914">
        <w:rPr>
          <w:i/>
        </w:rPr>
        <w:t>_nest</w:t>
      </w:r>
      <w:r w:rsidRPr="003F05E0">
        <w:rPr>
          <w:i/>
        </w:rPr>
        <w:t>2</w:t>
      </w:r>
      <w:r>
        <w:t>, etc.</w:t>
      </w:r>
      <w:r w:rsidRPr="003F05E0">
        <w:t xml:space="preserve">: </w:t>
      </w:r>
      <w:r>
        <w:t>Relative index of the availability of nesting type 1, 2, etc. within each LULC type, on a scale of 0-1 (values do not need to sum to 1 across nesting types). Set the LULC type with the greatest availability of nesting habitat at 1, and give all other land classes a value in proportion to this maximum value. The italicized parts of names must match those in NS</w:t>
      </w:r>
      <w:r w:rsidRPr="00101914">
        <w:rPr>
          <w:i/>
        </w:rPr>
        <w:t>_nest</w:t>
      </w:r>
      <w:r w:rsidRPr="003F05E0">
        <w:rPr>
          <w:i/>
        </w:rPr>
        <w:t>1</w:t>
      </w:r>
      <w:r>
        <w:t xml:space="preserve">, etc. in the Table of </w:t>
      </w:r>
      <w:r w:rsidRPr="0016393F">
        <w:t>pollinator species or guild</w:t>
      </w:r>
      <w:r>
        <w:t>s</w:t>
      </w:r>
      <w:r w:rsidRPr="0016393F">
        <w:t xml:space="preserve"> (described in input #2 above).</w:t>
      </w:r>
    </w:p>
    <w:p w:rsidR="0004680D" w:rsidRPr="00A57205" w:rsidRDefault="0004680D" w:rsidP="0004680D">
      <w:pPr>
        <w:numPr>
          <w:ilvl w:val="0"/>
          <w:numId w:val="2"/>
        </w:numPr>
        <w:ind w:left="1800"/>
        <w:jc w:val="both"/>
      </w:pPr>
      <w:r w:rsidRPr="00A57205">
        <w:t>F_</w:t>
      </w:r>
      <w:r w:rsidRPr="00A57205">
        <w:rPr>
          <w:i/>
        </w:rPr>
        <w:t>season1</w:t>
      </w:r>
      <w:r w:rsidRPr="00A57205">
        <w:t>, F_</w:t>
      </w:r>
      <w:r w:rsidRPr="00A57205">
        <w:rPr>
          <w:i/>
        </w:rPr>
        <w:t>season2</w:t>
      </w:r>
      <w:r w:rsidRPr="00A57205">
        <w:t>, etc.: Relative abundance (0-1) of flowers in each LULC class for season 1, season 2, etc. There are two aspects to consider</w:t>
      </w:r>
      <w:r>
        <w:t xml:space="preserve"> when estimate relative floral abundance of each</w:t>
      </w:r>
      <w:r w:rsidRPr="00A57205">
        <w:t xml:space="preserve"> LULC class</w:t>
      </w:r>
      <w:r>
        <w:t xml:space="preserve">: </w:t>
      </w:r>
      <w:r w:rsidRPr="00A57205">
        <w:t xml:space="preserve">% floral </w:t>
      </w:r>
      <w:r w:rsidRPr="00A57205">
        <w:lastRenderedPageBreak/>
        <w:t xml:space="preserve">abundance or </w:t>
      </w:r>
      <w:r>
        <w:t xml:space="preserve">% </w:t>
      </w:r>
      <w:r w:rsidRPr="00A57205">
        <w:t>floral coverage as well as the duration of flowering during each season</w:t>
      </w:r>
      <w:r>
        <w:t>. For example, a land cover type that comprises</w:t>
      </w:r>
      <w:r w:rsidRPr="00A57205">
        <w:t xml:space="preserve"> 100% of a mass flowering crop that flowers the entire season with an abundance cover of 80% would be give</w:t>
      </w:r>
      <w:r>
        <w:t xml:space="preserve">n a suitability value of 0.80. </w:t>
      </w:r>
      <w:r w:rsidRPr="00282727">
        <w:t xml:space="preserve">A </w:t>
      </w:r>
      <w:r w:rsidRPr="00A57205">
        <w:t>land cover type that flowers only half of the season at 80% floral coverage would be given a floral suitability value of 0.40.  Italicized parts of names must match those in FS_</w:t>
      </w:r>
      <w:r w:rsidRPr="00A57205">
        <w:rPr>
          <w:i/>
        </w:rPr>
        <w:t>nest1</w:t>
      </w:r>
      <w:r w:rsidRPr="00A57205">
        <w:t>, etc. in the Table of pollinator species or guild file (described in input #2 above).</w:t>
      </w:r>
    </w:p>
    <w:p w:rsidR="0004680D" w:rsidRDefault="0004680D" w:rsidP="0004680D">
      <w:pPr>
        <w:ind w:left="720"/>
        <w:jc w:val="both"/>
        <w:rPr>
          <w:b/>
        </w:rPr>
      </w:pPr>
      <w:r w:rsidRPr="00404F57">
        <w:rPr>
          <w:b/>
          <w:u w:val="single"/>
        </w:rPr>
        <w:t>Sample data set</w:t>
      </w:r>
      <w:r w:rsidRPr="004F3E09">
        <w:rPr>
          <w:b/>
        </w:rPr>
        <w:t>:</w:t>
      </w:r>
      <w:r>
        <w:rPr>
          <w:b/>
        </w:rPr>
        <w:t xml:space="preserve">  </w:t>
      </w:r>
      <w:r>
        <w:t>\Invest\pollination\input\</w:t>
      </w:r>
      <w:r>
        <w:rPr>
          <w:b/>
        </w:rPr>
        <w:t>LU.dbf</w:t>
      </w:r>
    </w:p>
    <w:p w:rsidR="0004680D" w:rsidRDefault="0004680D" w:rsidP="0004680D">
      <w:pPr>
        <w:ind w:left="720"/>
        <w:jc w:val="both"/>
      </w:pPr>
    </w:p>
    <w:p w:rsidR="0004680D" w:rsidRDefault="0004680D" w:rsidP="0004680D">
      <w:pPr>
        <w:ind w:left="540"/>
        <w:jc w:val="both"/>
      </w:pPr>
      <w:r w:rsidRPr="007A7C73">
        <w:rPr>
          <w:u w:val="single"/>
        </w:rPr>
        <w:t>Example</w:t>
      </w:r>
      <w:r>
        <w:t>: The same hypothetical study with five LULC classes. Class 1 (Forest) contains the maximum availability of sites for both nesting types (“cavity” and “ground”). The five habitat types vary strongly in flower resources in the single (simplified, year-round) flowering season. Note matching column heads between this table and the Table of pollinator species or guilds.</w:t>
      </w:r>
    </w:p>
    <w:p w:rsidR="0004680D" w:rsidRPr="008A37BD" w:rsidRDefault="0004680D" w:rsidP="0004680D">
      <w:pPr>
        <w:ind w:left="720"/>
        <w:jc w:val="both"/>
        <w:rPr>
          <w:u w:val="single"/>
        </w:rPr>
      </w:pPr>
    </w:p>
    <w:tbl>
      <w:tblPr>
        <w:tblW w:w="6378" w:type="dxa"/>
        <w:jc w:val="center"/>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918"/>
        <w:gridCol w:w="1180"/>
        <w:gridCol w:w="1161"/>
        <w:gridCol w:w="1159"/>
      </w:tblGrid>
      <w:tr w:rsidR="0004680D" w:rsidRPr="008A37BD" w:rsidTr="00C76404">
        <w:trPr>
          <w:trHeight w:val="255"/>
          <w:jc w:val="center"/>
        </w:trPr>
        <w:tc>
          <w:tcPr>
            <w:tcW w:w="960" w:type="dxa"/>
            <w:shd w:val="clear" w:color="auto" w:fill="99CCFF"/>
            <w:noWrap/>
            <w:vAlign w:val="bottom"/>
          </w:tcPr>
          <w:p w:rsidR="0004680D" w:rsidRPr="008A37BD" w:rsidRDefault="0004680D" w:rsidP="00C76404">
            <w:pPr>
              <w:jc w:val="center"/>
              <w:rPr>
                <w:rFonts w:ascii="Arial" w:hAnsi="Arial" w:cs="Arial"/>
                <w:b/>
                <w:bCs/>
                <w:sz w:val="20"/>
                <w:szCs w:val="20"/>
              </w:rPr>
            </w:pPr>
            <w:r w:rsidRPr="008A37BD">
              <w:rPr>
                <w:rFonts w:ascii="Arial" w:hAnsi="Arial" w:cs="Arial"/>
                <w:b/>
                <w:bCs/>
                <w:sz w:val="20"/>
                <w:szCs w:val="20"/>
              </w:rPr>
              <w:t>LULC</w:t>
            </w:r>
          </w:p>
        </w:tc>
        <w:tc>
          <w:tcPr>
            <w:tcW w:w="1918" w:type="dxa"/>
            <w:shd w:val="clear" w:color="auto" w:fill="99CCFF"/>
            <w:noWrap/>
            <w:vAlign w:val="bottom"/>
          </w:tcPr>
          <w:p w:rsidR="0004680D" w:rsidRPr="008A37BD" w:rsidRDefault="0004680D" w:rsidP="00C76404">
            <w:pPr>
              <w:jc w:val="center"/>
              <w:rPr>
                <w:rFonts w:ascii="Arial" w:hAnsi="Arial" w:cs="Arial"/>
                <w:b/>
                <w:bCs/>
                <w:sz w:val="20"/>
                <w:szCs w:val="20"/>
              </w:rPr>
            </w:pPr>
            <w:r>
              <w:rPr>
                <w:rFonts w:ascii="Arial" w:hAnsi="Arial" w:cs="Arial"/>
                <w:b/>
                <w:bCs/>
                <w:sz w:val="20"/>
                <w:szCs w:val="20"/>
              </w:rPr>
              <w:t>LULC</w:t>
            </w:r>
            <w:r w:rsidRPr="008A37BD">
              <w:rPr>
                <w:rFonts w:ascii="Arial" w:hAnsi="Arial" w:cs="Arial"/>
                <w:b/>
                <w:bCs/>
                <w:sz w:val="20"/>
                <w:szCs w:val="20"/>
              </w:rPr>
              <w:t>name</w:t>
            </w:r>
          </w:p>
        </w:tc>
        <w:tc>
          <w:tcPr>
            <w:tcW w:w="1180" w:type="dxa"/>
            <w:shd w:val="clear" w:color="auto" w:fill="99CCFF"/>
            <w:noWrap/>
            <w:vAlign w:val="bottom"/>
          </w:tcPr>
          <w:p w:rsidR="0004680D" w:rsidRPr="008A37BD" w:rsidRDefault="0004680D" w:rsidP="00C76404">
            <w:pPr>
              <w:jc w:val="center"/>
              <w:rPr>
                <w:rFonts w:ascii="Arial" w:hAnsi="Arial" w:cs="Arial"/>
                <w:b/>
                <w:bCs/>
                <w:sz w:val="20"/>
                <w:szCs w:val="20"/>
              </w:rPr>
            </w:pPr>
            <w:r>
              <w:rPr>
                <w:rFonts w:ascii="Arial" w:hAnsi="Arial" w:cs="Arial"/>
                <w:b/>
                <w:bCs/>
                <w:sz w:val="20"/>
                <w:szCs w:val="20"/>
              </w:rPr>
              <w:t>N_cavity</w:t>
            </w:r>
          </w:p>
        </w:tc>
        <w:tc>
          <w:tcPr>
            <w:tcW w:w="1160" w:type="dxa"/>
            <w:shd w:val="clear" w:color="auto" w:fill="99CCFF"/>
            <w:noWrap/>
            <w:vAlign w:val="bottom"/>
          </w:tcPr>
          <w:p w:rsidR="0004680D" w:rsidRPr="008A37BD" w:rsidRDefault="0004680D" w:rsidP="00C76404">
            <w:pPr>
              <w:jc w:val="center"/>
              <w:rPr>
                <w:rFonts w:ascii="Arial" w:hAnsi="Arial" w:cs="Arial"/>
                <w:b/>
                <w:bCs/>
                <w:sz w:val="20"/>
                <w:szCs w:val="20"/>
              </w:rPr>
            </w:pPr>
            <w:r>
              <w:rPr>
                <w:rFonts w:ascii="Arial" w:hAnsi="Arial" w:cs="Arial"/>
                <w:b/>
                <w:bCs/>
                <w:sz w:val="20"/>
                <w:szCs w:val="20"/>
              </w:rPr>
              <w:t>N_ground</w:t>
            </w:r>
          </w:p>
        </w:tc>
        <w:tc>
          <w:tcPr>
            <w:tcW w:w="1160" w:type="dxa"/>
            <w:shd w:val="clear" w:color="auto" w:fill="99CCFF"/>
            <w:vAlign w:val="bottom"/>
          </w:tcPr>
          <w:p w:rsidR="0004680D" w:rsidRPr="008A37BD" w:rsidRDefault="0004680D" w:rsidP="00C76404">
            <w:pPr>
              <w:jc w:val="center"/>
              <w:rPr>
                <w:rFonts w:ascii="Arial" w:hAnsi="Arial" w:cs="Arial"/>
                <w:b/>
                <w:bCs/>
                <w:sz w:val="20"/>
                <w:szCs w:val="20"/>
              </w:rPr>
            </w:pPr>
            <w:r>
              <w:rPr>
                <w:rFonts w:ascii="Arial" w:hAnsi="Arial" w:cs="Arial"/>
                <w:b/>
                <w:bCs/>
                <w:sz w:val="20"/>
                <w:szCs w:val="20"/>
              </w:rPr>
              <w:t>F_allyear</w:t>
            </w:r>
          </w:p>
        </w:tc>
      </w:tr>
      <w:tr w:rsidR="0004680D" w:rsidRPr="008A37BD" w:rsidTr="00C76404">
        <w:trPr>
          <w:trHeight w:val="255"/>
          <w:jc w:val="center"/>
        </w:trPr>
        <w:tc>
          <w:tcPr>
            <w:tcW w:w="96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1</w:t>
            </w:r>
          </w:p>
        </w:tc>
        <w:tc>
          <w:tcPr>
            <w:tcW w:w="1918" w:type="dxa"/>
            <w:tcBorders>
              <w:bottom w:val="single" w:sz="4" w:space="0" w:color="auto"/>
            </w:tcBorders>
            <w:shd w:val="clear" w:color="auto" w:fill="auto"/>
            <w:noWrap/>
            <w:vAlign w:val="bottom"/>
          </w:tcPr>
          <w:p w:rsidR="0004680D" w:rsidRPr="008A37BD" w:rsidRDefault="0004680D" w:rsidP="00C76404">
            <w:pPr>
              <w:rPr>
                <w:rFonts w:ascii="Arial" w:hAnsi="Arial" w:cs="Arial"/>
                <w:sz w:val="20"/>
                <w:szCs w:val="20"/>
              </w:rPr>
            </w:pPr>
            <w:r w:rsidRPr="008A37BD">
              <w:rPr>
                <w:rFonts w:ascii="Arial" w:hAnsi="Arial" w:cs="Arial"/>
                <w:sz w:val="20"/>
                <w:szCs w:val="20"/>
              </w:rPr>
              <w:t>Forest</w:t>
            </w:r>
          </w:p>
        </w:tc>
        <w:tc>
          <w:tcPr>
            <w:tcW w:w="118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1</w:t>
            </w:r>
            <w:r>
              <w:rPr>
                <w:rFonts w:ascii="Arial" w:hAnsi="Arial" w:cs="Arial"/>
                <w:sz w:val="20"/>
                <w:szCs w:val="20"/>
              </w:rPr>
              <w:t>.0</w:t>
            </w:r>
          </w:p>
        </w:tc>
        <w:tc>
          <w:tcPr>
            <w:tcW w:w="116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1</w:t>
            </w:r>
            <w:r>
              <w:rPr>
                <w:rFonts w:ascii="Arial" w:hAnsi="Arial" w:cs="Arial"/>
                <w:sz w:val="20"/>
                <w:szCs w:val="20"/>
              </w:rPr>
              <w:t>.0</w:t>
            </w:r>
          </w:p>
        </w:tc>
        <w:tc>
          <w:tcPr>
            <w:tcW w:w="1160" w:type="dxa"/>
            <w:tcBorders>
              <w:bottom w:val="single" w:sz="4" w:space="0" w:color="auto"/>
            </w:tcBorders>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1</w:t>
            </w:r>
            <w:r>
              <w:rPr>
                <w:rFonts w:ascii="Arial" w:hAnsi="Arial" w:cs="Arial"/>
                <w:sz w:val="20"/>
                <w:szCs w:val="20"/>
              </w:rPr>
              <w:t>.0</w:t>
            </w:r>
          </w:p>
        </w:tc>
      </w:tr>
      <w:tr w:rsidR="0004680D" w:rsidRPr="008A37BD" w:rsidTr="00C76404">
        <w:trPr>
          <w:trHeight w:val="255"/>
          <w:jc w:val="center"/>
        </w:trPr>
        <w:tc>
          <w:tcPr>
            <w:tcW w:w="96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2</w:t>
            </w:r>
          </w:p>
        </w:tc>
        <w:tc>
          <w:tcPr>
            <w:tcW w:w="1918" w:type="dxa"/>
            <w:shd w:val="clear" w:color="auto" w:fill="DDDDDD"/>
            <w:noWrap/>
            <w:vAlign w:val="bottom"/>
          </w:tcPr>
          <w:p w:rsidR="0004680D" w:rsidRPr="008A37BD" w:rsidRDefault="0004680D" w:rsidP="00C76404">
            <w:pPr>
              <w:rPr>
                <w:rFonts w:ascii="Arial" w:hAnsi="Arial" w:cs="Arial"/>
                <w:sz w:val="20"/>
                <w:szCs w:val="20"/>
              </w:rPr>
            </w:pPr>
            <w:r w:rsidRPr="008A37BD">
              <w:rPr>
                <w:rFonts w:ascii="Arial" w:hAnsi="Arial" w:cs="Arial"/>
                <w:sz w:val="20"/>
                <w:szCs w:val="20"/>
              </w:rPr>
              <w:t>Coffee</w:t>
            </w:r>
          </w:p>
        </w:tc>
        <w:tc>
          <w:tcPr>
            <w:tcW w:w="118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0.2</w:t>
            </w:r>
          </w:p>
        </w:tc>
        <w:tc>
          <w:tcPr>
            <w:tcW w:w="116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0.1</w:t>
            </w:r>
          </w:p>
        </w:tc>
        <w:tc>
          <w:tcPr>
            <w:tcW w:w="1160" w:type="dxa"/>
            <w:shd w:val="clear" w:color="auto" w:fill="DDDDDD"/>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0.5</w:t>
            </w:r>
          </w:p>
        </w:tc>
      </w:tr>
      <w:tr w:rsidR="0004680D" w:rsidRPr="008A37BD" w:rsidTr="00C76404">
        <w:trPr>
          <w:trHeight w:val="255"/>
          <w:jc w:val="center"/>
        </w:trPr>
        <w:tc>
          <w:tcPr>
            <w:tcW w:w="96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3</w:t>
            </w:r>
          </w:p>
        </w:tc>
        <w:tc>
          <w:tcPr>
            <w:tcW w:w="1918" w:type="dxa"/>
            <w:tcBorders>
              <w:bottom w:val="single" w:sz="4" w:space="0" w:color="auto"/>
            </w:tcBorders>
            <w:shd w:val="clear" w:color="auto" w:fill="auto"/>
            <w:noWrap/>
            <w:vAlign w:val="bottom"/>
          </w:tcPr>
          <w:p w:rsidR="0004680D" w:rsidRPr="008A37BD" w:rsidRDefault="0004680D" w:rsidP="00C76404">
            <w:pPr>
              <w:rPr>
                <w:rFonts w:ascii="Arial" w:hAnsi="Arial" w:cs="Arial"/>
                <w:sz w:val="20"/>
                <w:szCs w:val="20"/>
              </w:rPr>
            </w:pPr>
            <w:r>
              <w:rPr>
                <w:rFonts w:ascii="Arial" w:hAnsi="Arial" w:cs="Arial"/>
                <w:sz w:val="20"/>
                <w:szCs w:val="20"/>
              </w:rPr>
              <w:t>Pasture/grass</w:t>
            </w:r>
          </w:p>
        </w:tc>
        <w:tc>
          <w:tcPr>
            <w:tcW w:w="118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0.2</w:t>
            </w:r>
          </w:p>
        </w:tc>
        <w:tc>
          <w:tcPr>
            <w:tcW w:w="1160" w:type="dxa"/>
            <w:tcBorders>
              <w:bottom w:val="single" w:sz="4" w:space="0" w:color="auto"/>
            </w:tcBorders>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0.1</w:t>
            </w:r>
          </w:p>
        </w:tc>
        <w:tc>
          <w:tcPr>
            <w:tcW w:w="1160" w:type="dxa"/>
            <w:tcBorders>
              <w:bottom w:val="single" w:sz="4" w:space="0" w:color="auto"/>
            </w:tcBorders>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0.3</w:t>
            </w:r>
          </w:p>
        </w:tc>
      </w:tr>
      <w:tr w:rsidR="0004680D" w:rsidRPr="008A37BD" w:rsidTr="00C76404">
        <w:trPr>
          <w:trHeight w:val="255"/>
          <w:jc w:val="center"/>
        </w:trPr>
        <w:tc>
          <w:tcPr>
            <w:tcW w:w="96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4</w:t>
            </w:r>
          </w:p>
        </w:tc>
        <w:tc>
          <w:tcPr>
            <w:tcW w:w="1918" w:type="dxa"/>
            <w:shd w:val="clear" w:color="auto" w:fill="DDDDDD"/>
            <w:noWrap/>
            <w:vAlign w:val="bottom"/>
          </w:tcPr>
          <w:p w:rsidR="0004680D" w:rsidRPr="008A37BD" w:rsidRDefault="0004680D" w:rsidP="00C76404">
            <w:pPr>
              <w:rPr>
                <w:rFonts w:ascii="Arial" w:hAnsi="Arial" w:cs="Arial"/>
                <w:sz w:val="20"/>
                <w:szCs w:val="20"/>
              </w:rPr>
            </w:pPr>
            <w:r>
              <w:rPr>
                <w:rFonts w:ascii="Arial" w:hAnsi="Arial" w:cs="Arial"/>
                <w:sz w:val="20"/>
                <w:szCs w:val="20"/>
              </w:rPr>
              <w:t>Shrub/undergrowth</w:t>
            </w:r>
          </w:p>
        </w:tc>
        <w:tc>
          <w:tcPr>
            <w:tcW w:w="118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0.2</w:t>
            </w:r>
          </w:p>
        </w:tc>
        <w:tc>
          <w:tcPr>
            <w:tcW w:w="1160" w:type="dxa"/>
            <w:shd w:val="clear" w:color="auto" w:fill="DDDDDD"/>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0.1</w:t>
            </w:r>
          </w:p>
        </w:tc>
        <w:tc>
          <w:tcPr>
            <w:tcW w:w="1160" w:type="dxa"/>
            <w:shd w:val="clear" w:color="auto" w:fill="DDDDDD"/>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0.2</w:t>
            </w:r>
          </w:p>
        </w:tc>
      </w:tr>
      <w:tr w:rsidR="0004680D" w:rsidRPr="008A37BD" w:rsidTr="00C76404">
        <w:trPr>
          <w:trHeight w:val="255"/>
          <w:jc w:val="center"/>
        </w:trPr>
        <w:tc>
          <w:tcPr>
            <w:tcW w:w="960" w:type="dxa"/>
            <w:shd w:val="clear" w:color="auto" w:fill="auto"/>
            <w:noWrap/>
            <w:vAlign w:val="bottom"/>
          </w:tcPr>
          <w:p w:rsidR="0004680D" w:rsidRPr="008A37BD" w:rsidRDefault="0004680D" w:rsidP="00C76404">
            <w:pPr>
              <w:jc w:val="center"/>
              <w:rPr>
                <w:rFonts w:ascii="Arial" w:hAnsi="Arial" w:cs="Arial"/>
                <w:sz w:val="20"/>
                <w:szCs w:val="20"/>
              </w:rPr>
            </w:pPr>
            <w:r>
              <w:rPr>
                <w:rFonts w:ascii="Arial" w:hAnsi="Arial" w:cs="Arial"/>
                <w:sz w:val="20"/>
                <w:szCs w:val="20"/>
              </w:rPr>
              <w:t>5</w:t>
            </w:r>
          </w:p>
        </w:tc>
        <w:tc>
          <w:tcPr>
            <w:tcW w:w="1918" w:type="dxa"/>
            <w:shd w:val="clear" w:color="auto" w:fill="auto"/>
            <w:noWrap/>
            <w:vAlign w:val="bottom"/>
          </w:tcPr>
          <w:p w:rsidR="0004680D" w:rsidRPr="008A37BD" w:rsidRDefault="0004680D" w:rsidP="00C76404">
            <w:pPr>
              <w:rPr>
                <w:rFonts w:ascii="Arial" w:hAnsi="Arial" w:cs="Arial"/>
                <w:sz w:val="20"/>
                <w:szCs w:val="20"/>
              </w:rPr>
            </w:pPr>
            <w:r w:rsidRPr="008A37BD">
              <w:rPr>
                <w:rFonts w:ascii="Arial" w:hAnsi="Arial" w:cs="Arial"/>
                <w:sz w:val="20"/>
                <w:szCs w:val="20"/>
              </w:rPr>
              <w:t>Open/urban</w:t>
            </w:r>
          </w:p>
        </w:tc>
        <w:tc>
          <w:tcPr>
            <w:tcW w:w="1180" w:type="dxa"/>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0.2</w:t>
            </w:r>
          </w:p>
        </w:tc>
        <w:tc>
          <w:tcPr>
            <w:tcW w:w="1160" w:type="dxa"/>
            <w:shd w:val="clear" w:color="auto" w:fill="auto"/>
            <w:noWrap/>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0.1</w:t>
            </w:r>
          </w:p>
        </w:tc>
        <w:tc>
          <w:tcPr>
            <w:tcW w:w="1160" w:type="dxa"/>
            <w:vAlign w:val="bottom"/>
          </w:tcPr>
          <w:p w:rsidR="0004680D" w:rsidRPr="008A37BD" w:rsidRDefault="0004680D" w:rsidP="00C76404">
            <w:pPr>
              <w:jc w:val="center"/>
              <w:rPr>
                <w:rFonts w:ascii="Arial" w:hAnsi="Arial" w:cs="Arial"/>
                <w:sz w:val="20"/>
                <w:szCs w:val="20"/>
              </w:rPr>
            </w:pPr>
            <w:r w:rsidRPr="008A37BD">
              <w:rPr>
                <w:rFonts w:ascii="Arial" w:hAnsi="Arial" w:cs="Arial"/>
                <w:sz w:val="20"/>
                <w:szCs w:val="20"/>
              </w:rPr>
              <w:t>0.3</w:t>
            </w:r>
          </w:p>
        </w:tc>
      </w:tr>
    </w:tbl>
    <w:p w:rsidR="0004680D" w:rsidRPr="00CA333F" w:rsidRDefault="0004680D" w:rsidP="0004680D">
      <w:pPr>
        <w:jc w:val="both"/>
      </w:pPr>
    </w:p>
    <w:p w:rsidR="0004680D" w:rsidRDefault="0004680D" w:rsidP="0004680D">
      <w:pPr>
        <w:numPr>
          <w:ilvl w:val="0"/>
          <w:numId w:val="4"/>
        </w:numPr>
        <w:ind w:left="540" w:hanging="540"/>
        <w:jc w:val="both"/>
      </w:pPr>
      <w:r w:rsidRPr="00185F0D">
        <w:rPr>
          <w:b/>
        </w:rPr>
        <w:t>Half-saturation constant (</w:t>
      </w:r>
      <w:r>
        <w:rPr>
          <w:b/>
        </w:rPr>
        <w:t>optional</w:t>
      </w:r>
      <w:r w:rsidRPr="00185F0D">
        <w:rPr>
          <w:b/>
        </w:rPr>
        <w:t>).</w:t>
      </w:r>
      <w:r w:rsidRPr="00CA333F">
        <w:t xml:space="preserve">  The model will also prompt you to enter a half-saturation constant</w:t>
      </w:r>
      <w:r>
        <w:t xml:space="preserve">, which will be used when calculating the pollinator service value map.  This constant </w:t>
      </w:r>
      <w:r w:rsidRPr="00CA333F">
        <w:t>convert</w:t>
      </w:r>
      <w:r>
        <w:t>s</w:t>
      </w:r>
      <w:r w:rsidRPr="00CA333F">
        <w:t xml:space="preserve"> the pollinator supply into yield and represents the abundance of pollinators required to reach 50% of pollinator-dependent yield.</w:t>
      </w:r>
      <w:r>
        <w:t xml:space="preserve"> </w:t>
      </w:r>
      <w:r w:rsidRPr="00CA333F">
        <w:t>We suggest that the user apply the default value derived from previous work (</w:t>
      </w:r>
      <w:r>
        <w:t xml:space="preserve">i.e., 0.125, </w:t>
      </w:r>
      <w:r w:rsidRPr="00CA333F">
        <w:t xml:space="preserve">Lonsdorf </w:t>
      </w:r>
      <w:r w:rsidRPr="00024A86">
        <w:rPr>
          <w:i/>
        </w:rPr>
        <w:t>et al</w:t>
      </w:r>
      <w:r w:rsidRPr="00CA333F">
        <w:t xml:space="preserve"> 2009) unless there are data to justify changing it</w:t>
      </w:r>
      <w:r>
        <w:t xml:space="preserve">. </w:t>
      </w:r>
      <w:r w:rsidRPr="00CA333F">
        <w:t>The value must be greater than 0 and it is unlikely that the value would be greater than 0.2.</w:t>
      </w:r>
    </w:p>
    <w:p w:rsidR="0004680D" w:rsidRPr="001672B2" w:rsidRDefault="0004680D" w:rsidP="0004680D">
      <w:pPr>
        <w:jc w:val="both"/>
      </w:pPr>
    </w:p>
    <w:p w:rsidR="0004680D" w:rsidRDefault="0004680D" w:rsidP="0004680D">
      <w:pPr>
        <w:numPr>
          <w:ilvl w:val="0"/>
          <w:numId w:val="4"/>
        </w:numPr>
        <w:ind w:left="540"/>
        <w:jc w:val="both"/>
      </w:pPr>
      <w:r>
        <w:rPr>
          <w:b/>
        </w:rPr>
        <w:t>Future Scenarios</w:t>
      </w:r>
      <w:r>
        <w:t xml:space="preserve"> </w:t>
      </w:r>
      <w:r>
        <w:rPr>
          <w:b/>
        </w:rPr>
        <w:t>(optional)</w:t>
      </w:r>
      <w:r>
        <w:t xml:space="preserve">. </w:t>
      </w:r>
      <w:r w:rsidRPr="00F05E62">
        <w:t xml:space="preserve">To evaluate </w:t>
      </w:r>
      <w:r>
        <w:t xml:space="preserve">change in pollination services under a future </w:t>
      </w:r>
      <w:r w:rsidRPr="00F05E62">
        <w:t>scenario,</w:t>
      </w:r>
      <w:r>
        <w:t xml:space="preserve"> a Future Land Cover Map</w:t>
      </w:r>
      <w:r w:rsidRPr="00F05E62">
        <w:t xml:space="preserve"> needs to be provided for </w:t>
      </w:r>
      <w:r>
        <w:t>that</w:t>
      </w:r>
      <w:r w:rsidRPr="00F05E62">
        <w:t xml:space="preserve"> future time point</w:t>
      </w:r>
      <w:r>
        <w:t xml:space="preserve"> (along with the year depicted)</w:t>
      </w:r>
      <w:r w:rsidRPr="00F05E62">
        <w:t>.</w:t>
      </w:r>
      <w:r>
        <w:t xml:space="preserve"> The raster dataset needs to be formatted exactly like the current Land Cover Map (data input #1). </w:t>
      </w:r>
      <w:r w:rsidRPr="00F05E62">
        <w:t xml:space="preserve">This LULC </w:t>
      </w:r>
      <w:r>
        <w:t>map</w:t>
      </w:r>
      <w:r w:rsidRPr="00F05E62">
        <w:t xml:space="preserve"> </w:t>
      </w:r>
      <w:r>
        <w:t>could reflect</w:t>
      </w:r>
      <w:r w:rsidRPr="00F05E62">
        <w:t xml:space="preserve"> changes in land management policy, trends in land use change (e.g., agricultural expansion, urbanization, increased habitat protection).</w:t>
      </w:r>
    </w:p>
    <w:p w:rsidR="0004680D" w:rsidRPr="007E54F3" w:rsidRDefault="0004680D" w:rsidP="0004680D">
      <w:pPr>
        <w:tabs>
          <w:tab w:val="left" w:pos="720"/>
        </w:tabs>
        <w:ind w:left="360"/>
        <w:jc w:val="both"/>
        <w:rPr>
          <w:b/>
        </w:rPr>
      </w:pPr>
      <w:r>
        <w:rPr>
          <w:b/>
        </w:rPr>
        <w:tab/>
      </w:r>
      <w:r w:rsidRPr="00404F57">
        <w:rPr>
          <w:b/>
          <w:u w:val="single"/>
        </w:rPr>
        <w:t>Sample data set:</w:t>
      </w:r>
      <w:r w:rsidRPr="008B00AC">
        <w:rPr>
          <w:b/>
        </w:rPr>
        <w:t xml:space="preserve">  </w:t>
      </w:r>
      <w:r>
        <w:t>\Invest\Base_data\</w:t>
      </w:r>
      <w:r w:rsidRPr="0085562D">
        <w:rPr>
          <w:b/>
        </w:rPr>
        <w:t>lulc_</w:t>
      </w:r>
      <w:r>
        <w:rPr>
          <w:b/>
        </w:rPr>
        <w:t>samp_</w:t>
      </w:r>
      <w:r w:rsidRPr="0085562D">
        <w:rPr>
          <w:b/>
        </w:rPr>
        <w:t>fut</w:t>
      </w:r>
    </w:p>
    <w:p w:rsidR="0004680D" w:rsidRDefault="0004680D" w:rsidP="0004680D">
      <w:pPr>
        <w:pStyle w:val="Heading2"/>
        <w:jc w:val="both"/>
        <w:rPr>
          <w:rFonts w:ascii="Cambria" w:hAnsi="Cambria"/>
        </w:rPr>
      </w:pPr>
    </w:p>
    <w:p w:rsidR="0004680D" w:rsidRPr="00E804C4" w:rsidRDefault="0004680D" w:rsidP="0004680D">
      <w:pPr>
        <w:pStyle w:val="Heading2"/>
        <w:jc w:val="both"/>
        <w:rPr>
          <w:rFonts w:ascii="Cambria" w:hAnsi="Cambria"/>
        </w:rPr>
      </w:pPr>
      <w:bookmarkStart w:id="6" w:name="_Toc158980631"/>
      <w:r w:rsidRPr="00E804C4">
        <w:rPr>
          <w:rFonts w:ascii="Cambria" w:hAnsi="Cambria"/>
        </w:rPr>
        <w:t>Running the Model</w:t>
      </w:r>
      <w:bookmarkEnd w:id="6"/>
    </w:p>
    <w:p w:rsidR="0004680D" w:rsidRDefault="0004680D" w:rsidP="0004680D">
      <w:pPr>
        <w:jc w:val="both"/>
      </w:pPr>
    </w:p>
    <w:p w:rsidR="0004680D" w:rsidRPr="007A58DC" w:rsidRDefault="0004680D" w:rsidP="0004680D">
      <w:r w:rsidRPr="007A58DC">
        <w:t xml:space="preserve">Before running the Pollination model, make sure that the </w:t>
      </w:r>
      <w:r w:rsidRPr="007A58DC">
        <w:rPr>
          <w:smallCaps/>
        </w:rPr>
        <w:t>I</w:t>
      </w:r>
      <w:r w:rsidRPr="007A58DC">
        <w:t>n</w:t>
      </w:r>
      <w:r w:rsidRPr="007A58DC">
        <w:rPr>
          <w:smallCaps/>
        </w:rPr>
        <w:t xml:space="preserve">VEST </w:t>
      </w:r>
      <w:r w:rsidRPr="007A58DC">
        <w:t xml:space="preserve">toolbox has been added to your </w:t>
      </w:r>
      <w:r w:rsidRPr="007A58DC">
        <w:rPr>
          <w:smallCaps/>
        </w:rPr>
        <w:t>ArcMap</w:t>
      </w:r>
      <w:r w:rsidRPr="007A58DC">
        <w:t xml:space="preserve"> document, as described in the </w:t>
      </w:r>
      <w:r w:rsidRPr="007A58DC">
        <w:rPr>
          <w:b/>
        </w:rPr>
        <w:t>Getting Started</w:t>
      </w:r>
      <w:r w:rsidRPr="007A58DC">
        <w:t xml:space="preserve"> chapter of this guide. You will also need two additional python libraries to run the pollination model: GDAL and Numpy. The versions that you install will depend on the Python version on your computer.  Installation of </w:t>
      </w:r>
      <w:r w:rsidRPr="007A58DC">
        <w:lastRenderedPageBreak/>
        <w:t xml:space="preserve">these libraries may require you to have admin privileges on the computer.  </w:t>
      </w:r>
      <w:r>
        <w:t xml:space="preserve">Below </w:t>
      </w:r>
      <w:r w:rsidRPr="007A58DC">
        <w:t>are the installation instructions.  These instructions are for Windows XP and may differ for other versions of Windows or other operating systems:</w:t>
      </w:r>
    </w:p>
    <w:p w:rsidR="0004680D" w:rsidRPr="007A58DC" w:rsidRDefault="0004680D" w:rsidP="0004680D">
      <w:pPr>
        <w:numPr>
          <w:ilvl w:val="1"/>
          <w:numId w:val="4"/>
        </w:numPr>
      </w:pPr>
      <w:r w:rsidRPr="007A58DC">
        <w:t>Install Numpy.  If you are running ArcGIS 9.3 with Python 2.5 then it is likely that Numpy is alre</w:t>
      </w:r>
      <w:r>
        <w:t>a</w:t>
      </w:r>
      <w:r w:rsidRPr="007A58DC">
        <w:t xml:space="preserve">dy installed.  To confirm this, open Python command line from the Start menu and type ‘import numpy’ and press enter.  If no error appears then </w:t>
      </w:r>
      <w:r>
        <w:t>N</w:t>
      </w:r>
      <w:r w:rsidRPr="007A58DC">
        <w:t xml:space="preserve">umpy is already installed. If you need to install </w:t>
      </w:r>
      <w:r>
        <w:t>N</w:t>
      </w:r>
      <w:r w:rsidRPr="007A58DC">
        <w:t xml:space="preserve">umpy, get the appropriate version from this location:  </w:t>
      </w:r>
      <w:hyperlink r:id="rId15" w:history="1">
        <w:r w:rsidRPr="007A58DC">
          <w:rPr>
            <w:rStyle w:val="Hyperlink"/>
            <w:rFonts w:eastAsia="Calibri"/>
          </w:rPr>
          <w:t>http://sourceforge.net/projects/numpy/files/</w:t>
        </w:r>
      </w:hyperlink>
      <w:r w:rsidRPr="007A58DC">
        <w:t xml:space="preserve"> and run the install</w:t>
      </w:r>
      <w:r>
        <w:t xml:space="preserve">. </w:t>
      </w:r>
      <w:r w:rsidRPr="007A58DC">
        <w:t xml:space="preserve">Ensure the version you </w:t>
      </w:r>
      <w:r>
        <w:t xml:space="preserve">install </w:t>
      </w:r>
      <w:r w:rsidRPr="007A58DC">
        <w:t xml:space="preserve">matches your python version. </w:t>
      </w:r>
    </w:p>
    <w:p w:rsidR="0004680D" w:rsidRPr="007A58DC" w:rsidRDefault="0004680D" w:rsidP="0004680D">
      <w:pPr>
        <w:numPr>
          <w:ilvl w:val="1"/>
          <w:numId w:val="4"/>
        </w:numPr>
      </w:pPr>
      <w:r w:rsidRPr="007A58DC">
        <w:t xml:space="preserve">Download and install GDAL from:  </w:t>
      </w:r>
      <w:hyperlink r:id="rId16" w:history="1">
        <w:r w:rsidRPr="007A58DC">
          <w:rPr>
            <w:rStyle w:val="Hyperlink"/>
            <w:rFonts w:eastAsia="Calibri"/>
          </w:rPr>
          <w:t>http://download.osgeo.org/gdal/win32/1.6/gdalwin32exe160.zip</w:t>
        </w:r>
      </w:hyperlink>
      <w:r w:rsidRPr="007A58DC">
        <w:t xml:space="preserve">.  </w:t>
      </w:r>
    </w:p>
    <w:p w:rsidR="0004680D" w:rsidRPr="007A58DC" w:rsidRDefault="0004680D" w:rsidP="0004680D">
      <w:pPr>
        <w:pStyle w:val="Default"/>
        <w:widowControl/>
        <w:numPr>
          <w:ilvl w:val="1"/>
          <w:numId w:val="4"/>
        </w:numPr>
        <w:rPr>
          <w:rFonts w:ascii="Times New Roman" w:hAnsi="Times New Roman" w:cs="Times New Roman"/>
        </w:rPr>
      </w:pPr>
      <w:r w:rsidRPr="007A58DC">
        <w:rPr>
          <w:rFonts w:ascii="Times New Roman" w:hAnsi="Times New Roman" w:cs="Times New Roman"/>
        </w:rPr>
        <w:t>Unzip the GDAL archive into a permanent location</w:t>
      </w:r>
      <w:r>
        <w:rPr>
          <w:rFonts w:ascii="Times New Roman" w:hAnsi="Times New Roman" w:cs="Times New Roman"/>
        </w:rPr>
        <w:t xml:space="preserve"> (</w:t>
      </w:r>
      <w:r w:rsidRPr="007A58DC">
        <w:rPr>
          <w:rFonts w:ascii="Times New Roman" w:hAnsi="Times New Roman" w:cs="Times New Roman"/>
        </w:rPr>
        <w:t>e</w:t>
      </w:r>
      <w:r>
        <w:rPr>
          <w:rFonts w:ascii="Times New Roman" w:hAnsi="Times New Roman" w:cs="Times New Roman"/>
        </w:rPr>
        <w:t>.</w:t>
      </w:r>
      <w:r w:rsidRPr="007A58DC">
        <w:rPr>
          <w:rFonts w:ascii="Times New Roman" w:hAnsi="Times New Roman" w:cs="Times New Roman"/>
        </w:rPr>
        <w:t>g</w:t>
      </w:r>
      <w:r>
        <w:rPr>
          <w:rFonts w:ascii="Times New Roman" w:hAnsi="Times New Roman" w:cs="Times New Roman"/>
        </w:rPr>
        <w:t>.,</w:t>
      </w:r>
      <w:r w:rsidRPr="007A58DC">
        <w:rPr>
          <w:rFonts w:ascii="Times New Roman" w:hAnsi="Times New Roman" w:cs="Times New Roman"/>
        </w:rPr>
        <w:t xml:space="preserve"> C:\gdalwin32-1.6</w:t>
      </w:r>
      <w:r>
        <w:rPr>
          <w:rFonts w:ascii="Times New Roman" w:hAnsi="Times New Roman" w:cs="Times New Roman"/>
        </w:rPr>
        <w:t>)</w:t>
      </w:r>
      <w:r w:rsidRPr="007A58DC">
        <w:rPr>
          <w:rFonts w:ascii="Times New Roman" w:hAnsi="Times New Roman" w:cs="Times New Roman"/>
        </w:rPr>
        <w:t>.</w:t>
      </w:r>
    </w:p>
    <w:p w:rsidR="0004680D" w:rsidRPr="007A58DC" w:rsidRDefault="0004680D" w:rsidP="0004680D">
      <w:pPr>
        <w:pStyle w:val="Default"/>
        <w:widowControl/>
        <w:numPr>
          <w:ilvl w:val="1"/>
          <w:numId w:val="4"/>
        </w:numPr>
        <w:rPr>
          <w:rFonts w:ascii="Times New Roman" w:hAnsi="Times New Roman" w:cs="Times New Roman"/>
        </w:rPr>
      </w:pPr>
      <w:r w:rsidRPr="007A58DC">
        <w:rPr>
          <w:rFonts w:ascii="Times New Roman" w:hAnsi="Times New Roman" w:cs="Times New Roman"/>
        </w:rPr>
        <w:t>Add your new GDAL bin directory (C:\gdalwin32-1.6\bin</w:t>
      </w:r>
      <w:r>
        <w:rPr>
          <w:rFonts w:ascii="Times New Roman" w:hAnsi="Times New Roman" w:cs="Times New Roman"/>
        </w:rPr>
        <w:t>,</w:t>
      </w:r>
      <w:r w:rsidRPr="007A58DC">
        <w:rPr>
          <w:rFonts w:ascii="Times New Roman" w:hAnsi="Times New Roman" w:cs="Times New Roman"/>
        </w:rPr>
        <w:t xml:space="preserve"> if you installed as above) to your system Path environment variable. To do this, right click on ‘My Computer</w:t>
      </w:r>
      <w:r>
        <w:rPr>
          <w:rFonts w:ascii="Times New Roman" w:hAnsi="Times New Roman" w:cs="Times New Roman"/>
        </w:rPr>
        <w:t>,</w:t>
      </w:r>
      <w:r w:rsidRPr="007A58DC">
        <w:rPr>
          <w:rFonts w:ascii="Times New Roman" w:hAnsi="Times New Roman" w:cs="Times New Roman"/>
        </w:rPr>
        <w:t xml:space="preserve">’ </w:t>
      </w:r>
      <w:r>
        <w:rPr>
          <w:rFonts w:ascii="Times New Roman" w:hAnsi="Times New Roman" w:cs="Times New Roman"/>
        </w:rPr>
        <w:t xml:space="preserve">‘Properties,’ </w:t>
      </w:r>
      <w:r w:rsidRPr="007A58DC">
        <w:rPr>
          <w:rFonts w:ascii="Times New Roman" w:hAnsi="Times New Roman" w:cs="Times New Roman"/>
        </w:rPr>
        <w:t>Advanced &gt; Environment Variables.</w:t>
      </w:r>
      <w:r>
        <w:rPr>
          <w:rFonts w:ascii="Times New Roman" w:hAnsi="Times New Roman" w:cs="Times New Roman"/>
        </w:rPr>
        <w:t xml:space="preserve"> </w:t>
      </w:r>
      <w:r w:rsidRPr="007A58DC">
        <w:rPr>
          <w:rFonts w:ascii="Times New Roman" w:hAnsi="Times New Roman" w:cs="Times New Roman"/>
        </w:rPr>
        <w:t>Under system variables, select ‘Path’ system variable, edit, add a semicolon to separate the existing values then add your GDAL bin directory.  For example if the existing Path variable was “C:\Pr</w:t>
      </w:r>
      <w:r>
        <w:rPr>
          <w:rFonts w:ascii="Times New Roman" w:hAnsi="Times New Roman" w:cs="Times New Roman"/>
        </w:rPr>
        <w:t>o</w:t>
      </w:r>
      <w:r w:rsidRPr="007A58DC">
        <w:rPr>
          <w:rFonts w:ascii="Times New Roman" w:hAnsi="Times New Roman" w:cs="Times New Roman"/>
        </w:rPr>
        <w:t>gram Files\soft</w:t>
      </w:r>
      <w:r>
        <w:rPr>
          <w:rFonts w:ascii="Times New Roman" w:hAnsi="Times New Roman" w:cs="Times New Roman"/>
        </w:rPr>
        <w:t>,</w:t>
      </w:r>
      <w:r w:rsidRPr="007A58DC">
        <w:rPr>
          <w:rFonts w:ascii="Times New Roman" w:hAnsi="Times New Roman" w:cs="Times New Roman"/>
        </w:rPr>
        <w:t>” after editing it should read “C:\Pr</w:t>
      </w:r>
      <w:r>
        <w:rPr>
          <w:rFonts w:ascii="Times New Roman" w:hAnsi="Times New Roman" w:cs="Times New Roman"/>
        </w:rPr>
        <w:t>o</w:t>
      </w:r>
      <w:r w:rsidRPr="007A58DC">
        <w:rPr>
          <w:rFonts w:ascii="Times New Roman" w:hAnsi="Times New Roman" w:cs="Times New Roman"/>
        </w:rPr>
        <w:t xml:space="preserve">gram Files\soft; C:\gdalwin32-1.6\bin” </w:t>
      </w:r>
      <w:r w:rsidRPr="008F5BC3">
        <w:rPr>
          <w:rFonts w:ascii="Times New Roman" w:hAnsi="Times New Roman" w:cs="Times New Roman"/>
          <w:i/>
        </w:rPr>
        <w:t>Do not delete any paths that were there before</w:t>
      </w:r>
      <w:r>
        <w:rPr>
          <w:rFonts w:ascii="Times New Roman" w:hAnsi="Times New Roman" w:cs="Times New Roman"/>
          <w:i/>
        </w:rPr>
        <w:t>.</w:t>
      </w:r>
    </w:p>
    <w:p w:rsidR="0004680D" w:rsidRPr="007A58DC" w:rsidRDefault="0004680D" w:rsidP="0004680D">
      <w:pPr>
        <w:pStyle w:val="Default"/>
        <w:widowControl/>
        <w:numPr>
          <w:ilvl w:val="1"/>
          <w:numId w:val="4"/>
        </w:numPr>
        <w:rPr>
          <w:rFonts w:ascii="Times New Roman" w:hAnsi="Times New Roman" w:cs="Times New Roman"/>
        </w:rPr>
      </w:pPr>
      <w:r w:rsidRPr="007A58DC">
        <w:rPr>
          <w:rFonts w:ascii="Times New Roman" w:hAnsi="Times New Roman" w:cs="Times New Roman"/>
        </w:rPr>
        <w:t>In the same Environment Variables dialog, create a new User Variable named GDAL_DATA with a value of C:\gdalwin32-1.6\data (change this to suit your GDAL install location)</w:t>
      </w:r>
      <w:r>
        <w:rPr>
          <w:rFonts w:ascii="Times New Roman" w:hAnsi="Times New Roman" w:cs="Times New Roman"/>
        </w:rPr>
        <w:t>.</w:t>
      </w:r>
    </w:p>
    <w:p w:rsidR="0004680D" w:rsidRPr="007A58DC" w:rsidRDefault="0004680D" w:rsidP="0004680D">
      <w:pPr>
        <w:pStyle w:val="Default"/>
        <w:widowControl/>
        <w:numPr>
          <w:ilvl w:val="1"/>
          <w:numId w:val="4"/>
        </w:numPr>
        <w:rPr>
          <w:rFonts w:ascii="Times New Roman" w:hAnsi="Times New Roman" w:cs="Times New Roman"/>
        </w:rPr>
      </w:pPr>
      <w:r w:rsidRPr="007A58DC">
        <w:rPr>
          <w:rFonts w:ascii="Times New Roman" w:hAnsi="Times New Roman" w:cs="Times New Roman"/>
        </w:rPr>
        <w:t xml:space="preserve"> Install the GDAL python bindings.  Download the appropriate package from this location: </w:t>
      </w:r>
      <w:hyperlink r:id="rId17" w:history="1">
        <w:r w:rsidRPr="007A58DC">
          <w:rPr>
            <w:rStyle w:val="Hyperlink"/>
            <w:rFonts w:ascii="Times New Roman" w:eastAsia="Calibri" w:hAnsi="Times New Roman" w:cs="Times New Roman"/>
          </w:rPr>
          <w:t>http://pypi.python.org/pypi/GDAL/1.6.1</w:t>
        </w:r>
      </w:hyperlink>
      <w:r>
        <w:rPr>
          <w:rFonts w:ascii="Times New Roman" w:hAnsi="Times New Roman" w:cs="Times New Roman"/>
        </w:rPr>
        <w:t>.</w:t>
      </w:r>
      <w:r w:rsidRPr="007A58DC">
        <w:rPr>
          <w:rFonts w:ascii="Times New Roman" w:hAnsi="Times New Roman" w:cs="Times New Roman"/>
        </w:rPr>
        <w:t xml:space="preserve"> Browse to the bottom of that page and select a version that matches your python version.</w:t>
      </w:r>
    </w:p>
    <w:p w:rsidR="0004680D" w:rsidRDefault="0004680D" w:rsidP="0004680D">
      <w:pPr>
        <w:pStyle w:val="Default"/>
        <w:ind w:left="1080"/>
        <w:rPr>
          <w:rFonts w:ascii="Times New Roman" w:hAnsi="Times New Roman" w:cs="Times New Roman"/>
        </w:rPr>
      </w:pPr>
    </w:p>
    <w:p w:rsidR="0004680D" w:rsidRPr="00CF27C3" w:rsidRDefault="0004680D" w:rsidP="0004680D">
      <w:pPr>
        <w:pStyle w:val="Default"/>
        <w:ind w:left="1080"/>
        <w:rPr>
          <w:rFonts w:ascii="Times New Roman" w:hAnsi="Times New Roman" w:cs="Times New Roman"/>
        </w:rPr>
      </w:pPr>
    </w:p>
    <w:p w:rsidR="0004680D" w:rsidRPr="000364BD" w:rsidRDefault="0004680D" w:rsidP="0004680D">
      <w:pPr>
        <w:pStyle w:val="ColorfulShading-Accent31"/>
        <w:numPr>
          <w:ilvl w:val="0"/>
          <w:numId w:val="9"/>
        </w:numPr>
        <w:contextualSpacing w:val="0"/>
        <w:jc w:val="both"/>
        <w:rPr>
          <w:rFonts w:ascii="Times New Roman" w:hAnsi="Times New Roman"/>
          <w:sz w:val="24"/>
          <w:szCs w:val="24"/>
        </w:rPr>
      </w:pPr>
      <w:r>
        <w:rPr>
          <w:rFonts w:ascii="Times New Roman" w:hAnsi="Times New Roman"/>
          <w:sz w:val="24"/>
          <w:szCs w:val="24"/>
        </w:rPr>
        <w:t>M</w:t>
      </w:r>
      <w:r w:rsidRPr="000364BD">
        <w:rPr>
          <w:rFonts w:ascii="Times New Roman" w:hAnsi="Times New Roman"/>
          <w:sz w:val="24"/>
          <w:szCs w:val="24"/>
        </w:rPr>
        <w:t xml:space="preserve">ake sure that you have prepared the required input data files according to the specifications in </w:t>
      </w:r>
      <w:r w:rsidRPr="000364BD">
        <w:rPr>
          <w:rFonts w:ascii="Times New Roman" w:hAnsi="Times New Roman"/>
          <w:i/>
          <w:sz w:val="24"/>
          <w:szCs w:val="24"/>
        </w:rPr>
        <w:t>Data Needs</w:t>
      </w:r>
      <w:r w:rsidRPr="000364BD">
        <w:rPr>
          <w:rFonts w:ascii="Times New Roman" w:hAnsi="Times New Roman"/>
          <w:sz w:val="24"/>
          <w:szCs w:val="24"/>
        </w:rPr>
        <w:t>. Specifically, you will need a land cover raster file depicting the different land cover and land use types in the landscape, a Table of Land Cover Attributes</w:t>
      </w:r>
      <w:r>
        <w:rPr>
          <w:rFonts w:ascii="Times New Roman" w:hAnsi="Times New Roman"/>
          <w:sz w:val="24"/>
          <w:szCs w:val="24"/>
        </w:rPr>
        <w:t>,</w:t>
      </w:r>
      <w:r w:rsidRPr="000364BD">
        <w:rPr>
          <w:rFonts w:ascii="Times New Roman" w:hAnsi="Times New Roman"/>
          <w:sz w:val="24"/>
          <w:szCs w:val="24"/>
        </w:rPr>
        <w:t xml:space="preserve"> describing the suitability of the land cover types to nesting and floral resources, and a Table of Pollinator Species or Guilds, describing the nesting and seasonal behavior and crop visitation of different pollinators.</w:t>
      </w:r>
    </w:p>
    <w:p w:rsidR="0004680D" w:rsidRPr="000364BD" w:rsidRDefault="0004680D" w:rsidP="0004680D">
      <w:pPr>
        <w:pStyle w:val="ColorfulShading-Accent31"/>
        <w:contextualSpacing w:val="0"/>
        <w:jc w:val="both"/>
        <w:rPr>
          <w:rFonts w:ascii="Times New Roman" w:hAnsi="Times New Roman"/>
          <w:sz w:val="24"/>
          <w:szCs w:val="24"/>
        </w:rPr>
      </w:pPr>
    </w:p>
    <w:p w:rsidR="0004680D" w:rsidRPr="000364BD" w:rsidRDefault="0004680D" w:rsidP="0004680D">
      <w:pPr>
        <w:jc w:val="both"/>
      </w:pPr>
    </w:p>
    <w:p w:rsidR="0004680D" w:rsidRPr="000364BD" w:rsidRDefault="0004680D" w:rsidP="0004680D">
      <w:pPr>
        <w:pStyle w:val="ColorfulShading-Accent31"/>
        <w:numPr>
          <w:ilvl w:val="0"/>
          <w:numId w:val="9"/>
        </w:numPr>
        <w:contextualSpacing w:val="0"/>
        <w:jc w:val="both"/>
        <w:rPr>
          <w:rFonts w:ascii="Times New Roman" w:hAnsi="Times New Roman"/>
          <w:sz w:val="24"/>
          <w:szCs w:val="24"/>
        </w:rPr>
      </w:pPr>
      <w:r w:rsidRPr="000364BD">
        <w:rPr>
          <w:rFonts w:ascii="Times New Roman" w:hAnsi="Times New Roman"/>
          <w:sz w:val="24"/>
          <w:szCs w:val="24"/>
        </w:rPr>
        <w:t>Create a workspace on your computer hard-drive if you are using your data. The pathname to the workspace should not have spaces. All your output files will be dumped here.</w:t>
      </w:r>
      <w:r>
        <w:rPr>
          <w:rFonts w:ascii="Times New Roman" w:hAnsi="Times New Roman"/>
          <w:sz w:val="24"/>
          <w:szCs w:val="24"/>
        </w:rPr>
        <w:t xml:space="preserve"> </w:t>
      </w:r>
      <w:r w:rsidRPr="000364BD">
        <w:rPr>
          <w:rFonts w:ascii="Times New Roman" w:hAnsi="Times New Roman"/>
          <w:sz w:val="24"/>
          <w:szCs w:val="24"/>
        </w:rPr>
        <w:t xml:space="preserve">For simplicity, you could create a folder in your workspace called “input” and place all your input files here.  It is not necessary to place input files in the workspace, but this will make it easier to view the data you use to run your model.  If this is your first time using </w:t>
      </w:r>
      <w:r w:rsidRPr="000364BD">
        <w:rPr>
          <w:rFonts w:ascii="Times New Roman" w:hAnsi="Times New Roman"/>
          <w:smallCaps/>
          <w:sz w:val="24"/>
          <w:szCs w:val="24"/>
        </w:rPr>
        <w:t>I</w:t>
      </w:r>
      <w:r w:rsidRPr="000364BD">
        <w:rPr>
          <w:rFonts w:ascii="Times New Roman" w:hAnsi="Times New Roman"/>
          <w:sz w:val="24"/>
          <w:szCs w:val="24"/>
        </w:rPr>
        <w:t>n</w:t>
      </w:r>
      <w:r w:rsidRPr="000364BD">
        <w:rPr>
          <w:rFonts w:ascii="Times New Roman" w:hAnsi="Times New Roman"/>
          <w:smallCaps/>
          <w:sz w:val="24"/>
          <w:szCs w:val="24"/>
        </w:rPr>
        <w:t>VEST</w:t>
      </w:r>
      <w:r w:rsidRPr="000364BD">
        <w:rPr>
          <w:rFonts w:ascii="Times New Roman" w:hAnsi="Times New Roman"/>
          <w:sz w:val="24"/>
          <w:szCs w:val="24"/>
        </w:rPr>
        <w:t xml:space="preserve"> and you wish to use sample data, you can use the data provided in InVEST-Setup.exe.  If you unzipped the InVEST files to your C-drive (as described in the </w:t>
      </w:r>
      <w:r w:rsidRPr="000364BD">
        <w:rPr>
          <w:rFonts w:ascii="Times New Roman" w:hAnsi="Times New Roman"/>
          <w:b/>
          <w:sz w:val="24"/>
          <w:szCs w:val="24"/>
        </w:rPr>
        <w:t>Getting Started</w:t>
      </w:r>
      <w:r w:rsidRPr="000364BD">
        <w:rPr>
          <w:rFonts w:ascii="Times New Roman" w:hAnsi="Times New Roman"/>
          <w:sz w:val="24"/>
          <w:szCs w:val="24"/>
        </w:rPr>
        <w:t xml:space="preserve"> chapter), you should see a folder called /Invest/</w:t>
      </w:r>
      <w:r w:rsidRPr="000364BD">
        <w:rPr>
          <w:rFonts w:ascii="Times New Roman" w:hAnsi="Times New Roman"/>
          <w:b/>
          <w:sz w:val="24"/>
          <w:szCs w:val="24"/>
        </w:rPr>
        <w:t>pollination</w:t>
      </w:r>
      <w:r w:rsidRPr="000364BD">
        <w:rPr>
          <w:rFonts w:ascii="Times New Roman" w:hAnsi="Times New Roman"/>
          <w:sz w:val="24"/>
          <w:szCs w:val="24"/>
        </w:rPr>
        <w:t>.  This folder should be your workspace.</w:t>
      </w:r>
      <w:r>
        <w:rPr>
          <w:rFonts w:ascii="Times New Roman" w:hAnsi="Times New Roman"/>
          <w:sz w:val="24"/>
          <w:szCs w:val="24"/>
        </w:rPr>
        <w:t xml:space="preserve"> </w:t>
      </w:r>
      <w:r w:rsidRPr="000364BD">
        <w:rPr>
          <w:rFonts w:ascii="Times New Roman" w:hAnsi="Times New Roman"/>
          <w:sz w:val="24"/>
          <w:szCs w:val="24"/>
        </w:rPr>
        <w:t>The input files are in a folder called /Invest/pollination/input and in /invest/base_data</w:t>
      </w:r>
      <w:r>
        <w:rPr>
          <w:rFonts w:ascii="Times New Roman" w:hAnsi="Times New Roman"/>
          <w:sz w:val="24"/>
          <w:szCs w:val="24"/>
        </w:rPr>
        <w:t>.</w:t>
      </w:r>
    </w:p>
    <w:p w:rsidR="0004680D" w:rsidRDefault="0004680D" w:rsidP="0004680D">
      <w:pPr>
        <w:pStyle w:val="ColorfulShading-Accent31"/>
        <w:jc w:val="both"/>
        <w:rPr>
          <w:rFonts w:ascii="Times New Roman" w:hAnsi="Times New Roman"/>
          <w:sz w:val="24"/>
          <w:szCs w:val="24"/>
        </w:rPr>
      </w:pPr>
    </w:p>
    <w:p w:rsidR="0004680D" w:rsidRDefault="0004680D" w:rsidP="0004680D">
      <w:pPr>
        <w:pStyle w:val="ColorfulShading-Accent31"/>
        <w:jc w:val="both"/>
        <w:rPr>
          <w:rFonts w:ascii="Times New Roman" w:hAnsi="Times New Roman"/>
          <w:sz w:val="24"/>
          <w:szCs w:val="24"/>
        </w:rPr>
      </w:pPr>
    </w:p>
    <w:p w:rsidR="0004680D" w:rsidRDefault="0004680D" w:rsidP="0004680D">
      <w:pPr>
        <w:pStyle w:val="ColorfulShading-Accent31"/>
        <w:numPr>
          <w:ilvl w:val="0"/>
          <w:numId w:val="6"/>
        </w:numPr>
        <w:contextualSpacing w:val="0"/>
        <w:jc w:val="both"/>
        <w:rPr>
          <w:rFonts w:ascii="Times New Roman" w:hAnsi="Times New Roman"/>
          <w:sz w:val="24"/>
          <w:szCs w:val="24"/>
        </w:rPr>
      </w:pPr>
      <w:r>
        <w:rPr>
          <w:rFonts w:ascii="Times New Roman" w:hAnsi="Times New Roman"/>
          <w:sz w:val="24"/>
          <w:szCs w:val="24"/>
        </w:rPr>
        <w:t>O</w:t>
      </w:r>
      <w:r w:rsidRPr="00A1265D">
        <w:rPr>
          <w:rFonts w:ascii="Times New Roman" w:hAnsi="Times New Roman"/>
          <w:sz w:val="24"/>
          <w:szCs w:val="24"/>
        </w:rPr>
        <w:t>pen</w:t>
      </w:r>
      <w:r>
        <w:rPr>
          <w:rFonts w:ascii="Times New Roman" w:hAnsi="Times New Roman"/>
          <w:sz w:val="24"/>
          <w:szCs w:val="24"/>
        </w:rPr>
        <w:t xml:space="preserve"> an</w:t>
      </w:r>
      <w:r w:rsidRPr="00A1265D">
        <w:rPr>
          <w:rFonts w:ascii="Times New Roman" w:hAnsi="Times New Roman"/>
          <w:sz w:val="24"/>
          <w:szCs w:val="24"/>
        </w:rPr>
        <w:t xml:space="preserve"> </w:t>
      </w:r>
      <w:r w:rsidRPr="00A1265D">
        <w:rPr>
          <w:rFonts w:ascii="Times New Roman" w:hAnsi="Times New Roman"/>
          <w:smallCaps/>
          <w:sz w:val="24"/>
          <w:szCs w:val="24"/>
        </w:rPr>
        <w:t>ArcMap</w:t>
      </w:r>
      <w:r>
        <w:rPr>
          <w:rFonts w:ascii="Times New Roman" w:hAnsi="Times New Roman"/>
          <w:sz w:val="24"/>
          <w:szCs w:val="24"/>
        </w:rPr>
        <w:t xml:space="preserve"> document to run your model.  </w:t>
      </w:r>
    </w:p>
    <w:p w:rsidR="0004680D" w:rsidRDefault="0004680D" w:rsidP="0004680D">
      <w:pPr>
        <w:pStyle w:val="ColorfulShading-Accent31"/>
        <w:ind w:left="360"/>
        <w:contextualSpacing w:val="0"/>
        <w:jc w:val="both"/>
        <w:rPr>
          <w:rFonts w:ascii="Times New Roman" w:hAnsi="Times New Roman"/>
          <w:sz w:val="24"/>
          <w:szCs w:val="24"/>
        </w:rPr>
      </w:pPr>
    </w:p>
    <w:p w:rsidR="0004680D" w:rsidRDefault="0004680D" w:rsidP="0004680D">
      <w:pPr>
        <w:pStyle w:val="ColorfulShading-Accent31"/>
        <w:numPr>
          <w:ilvl w:val="0"/>
          <w:numId w:val="6"/>
        </w:numPr>
        <w:contextualSpacing w:val="0"/>
        <w:jc w:val="both"/>
        <w:rPr>
          <w:rFonts w:ascii="Times New Roman" w:hAnsi="Times New Roman"/>
          <w:sz w:val="24"/>
          <w:szCs w:val="24"/>
        </w:rPr>
      </w:pPr>
      <w:r>
        <w:rPr>
          <w:rFonts w:ascii="Times New Roman" w:hAnsi="Times New Roman"/>
          <w:sz w:val="24"/>
          <w:szCs w:val="24"/>
        </w:rPr>
        <w:t>L</w:t>
      </w:r>
      <w:r>
        <w:rPr>
          <w:rFonts w:ascii="Times New Roman" w:hAnsi="Times New Roman"/>
          <w:noProof/>
          <w:sz w:val="24"/>
          <w:szCs w:val="24"/>
        </w:rPr>
        <w:t>ocate</w:t>
      </w:r>
      <w:r w:rsidRPr="008122D3">
        <w:rPr>
          <w:rFonts w:ascii="Times New Roman" w:hAnsi="Times New Roman"/>
          <w:noProof/>
          <w:sz w:val="24"/>
          <w:szCs w:val="24"/>
        </w:rPr>
        <w:t xml:space="preserve"> the </w:t>
      </w:r>
      <w:r w:rsidRPr="008122D3">
        <w:rPr>
          <w:rFonts w:ascii="Times New Roman" w:hAnsi="Times New Roman"/>
          <w:smallCaps/>
          <w:noProof/>
          <w:sz w:val="24"/>
          <w:szCs w:val="24"/>
        </w:rPr>
        <w:t>InVEST</w:t>
      </w:r>
      <w:r w:rsidRPr="008122D3">
        <w:rPr>
          <w:rFonts w:ascii="Times New Roman" w:hAnsi="Times New Roman"/>
          <w:noProof/>
          <w:sz w:val="24"/>
          <w:szCs w:val="24"/>
        </w:rPr>
        <w:t xml:space="preserve"> toolbox</w:t>
      </w:r>
      <w:r w:rsidRPr="008122D3">
        <w:rPr>
          <w:rFonts w:ascii="Times New Roman" w:hAnsi="Times New Roman"/>
          <w:sz w:val="24"/>
          <w:szCs w:val="24"/>
        </w:rPr>
        <w:t xml:space="preserve"> in </w:t>
      </w:r>
      <w:r w:rsidRPr="008122D3">
        <w:rPr>
          <w:rFonts w:ascii="Times New Roman" w:hAnsi="Times New Roman"/>
          <w:smallCaps/>
          <w:sz w:val="24"/>
          <w:szCs w:val="24"/>
        </w:rPr>
        <w:t>ArcToolbox</w:t>
      </w:r>
      <w:r w:rsidRPr="008122D3">
        <w:rPr>
          <w:rFonts w:ascii="Times New Roman" w:hAnsi="Times New Roman"/>
          <w:sz w:val="24"/>
          <w:szCs w:val="24"/>
        </w:rPr>
        <w:t xml:space="preserve">. </w:t>
      </w:r>
      <w:r w:rsidRPr="008122D3">
        <w:rPr>
          <w:rFonts w:ascii="Times New Roman" w:hAnsi="Times New Roman"/>
          <w:smallCaps/>
          <w:sz w:val="24"/>
          <w:szCs w:val="24"/>
        </w:rPr>
        <w:t>ArcToolbox</w:t>
      </w:r>
      <w:r w:rsidRPr="008122D3">
        <w:rPr>
          <w:rFonts w:ascii="Times New Roman" w:hAnsi="Times New Roman"/>
          <w:sz w:val="24"/>
          <w:szCs w:val="24"/>
        </w:rPr>
        <w:t xml:space="preserve"> </w:t>
      </w:r>
      <w:r>
        <w:rPr>
          <w:rFonts w:ascii="Times New Roman" w:hAnsi="Times New Roman"/>
          <w:sz w:val="24"/>
          <w:szCs w:val="24"/>
        </w:rPr>
        <w:t>should be</w:t>
      </w:r>
      <w:r w:rsidRPr="008122D3">
        <w:rPr>
          <w:rFonts w:ascii="Times New Roman" w:hAnsi="Times New Roman"/>
          <w:sz w:val="24"/>
          <w:szCs w:val="24"/>
        </w:rPr>
        <w:t xml:space="preserve"> open in </w:t>
      </w:r>
      <w:r w:rsidRPr="008122D3">
        <w:rPr>
          <w:rFonts w:ascii="Times New Roman" w:hAnsi="Times New Roman"/>
          <w:smallCaps/>
          <w:sz w:val="24"/>
          <w:szCs w:val="24"/>
        </w:rPr>
        <w:t>ArcMap</w:t>
      </w:r>
      <w:r w:rsidRPr="008122D3">
        <w:rPr>
          <w:rFonts w:ascii="Times New Roman" w:hAnsi="Times New Roman"/>
          <w:sz w:val="24"/>
          <w:szCs w:val="24"/>
        </w:rPr>
        <w:t xml:space="preserve">, but if it is not, click on the </w:t>
      </w:r>
      <w:r w:rsidRPr="008122D3">
        <w:rPr>
          <w:rFonts w:ascii="Times New Roman" w:hAnsi="Times New Roman"/>
          <w:smallCaps/>
          <w:sz w:val="24"/>
          <w:szCs w:val="24"/>
        </w:rPr>
        <w:t xml:space="preserve">ArcToolbox </w:t>
      </w:r>
      <w:r w:rsidRPr="008122D3">
        <w:rPr>
          <w:rFonts w:ascii="Times New Roman" w:hAnsi="Times New Roman"/>
          <w:sz w:val="24"/>
          <w:szCs w:val="24"/>
        </w:rPr>
        <w:t xml:space="preserve">symbol. See the </w:t>
      </w:r>
      <w:r w:rsidRPr="008122D3">
        <w:rPr>
          <w:rFonts w:ascii="Times New Roman" w:hAnsi="Times New Roman"/>
          <w:b/>
          <w:sz w:val="24"/>
          <w:szCs w:val="24"/>
        </w:rPr>
        <w:t xml:space="preserve">Getting Started </w:t>
      </w:r>
      <w:r w:rsidRPr="008122D3">
        <w:rPr>
          <w:rFonts w:ascii="Times New Roman" w:hAnsi="Times New Roman"/>
          <w:sz w:val="24"/>
          <w:szCs w:val="24"/>
        </w:rPr>
        <w:t>chapter if you do</w:t>
      </w:r>
      <w:r>
        <w:rPr>
          <w:rFonts w:ascii="Times New Roman" w:hAnsi="Times New Roman"/>
          <w:sz w:val="24"/>
          <w:szCs w:val="24"/>
        </w:rPr>
        <w:t xml:space="preserve"> </w:t>
      </w:r>
      <w:r w:rsidRPr="008122D3">
        <w:rPr>
          <w:rFonts w:ascii="Times New Roman" w:hAnsi="Times New Roman"/>
          <w:sz w:val="24"/>
          <w:szCs w:val="24"/>
        </w:rPr>
        <w:t>n</w:t>
      </w:r>
      <w:r>
        <w:rPr>
          <w:rFonts w:ascii="Times New Roman" w:hAnsi="Times New Roman"/>
          <w:sz w:val="24"/>
          <w:szCs w:val="24"/>
        </w:rPr>
        <w:t>o</w:t>
      </w:r>
      <w:r w:rsidRPr="008122D3">
        <w:rPr>
          <w:rFonts w:ascii="Times New Roman" w:hAnsi="Times New Roman"/>
          <w:sz w:val="24"/>
          <w:szCs w:val="24"/>
        </w:rPr>
        <w:t>t see the InVEST toolbox.</w:t>
      </w:r>
      <w:r>
        <w:rPr>
          <w:rFonts w:ascii="Times New Roman" w:hAnsi="Times New Roman"/>
          <w:sz w:val="24"/>
          <w:szCs w:val="24"/>
        </w:rPr>
        <w:t xml:space="preserve"> </w:t>
      </w:r>
    </w:p>
    <w:p w:rsidR="0004680D" w:rsidRDefault="0004680D" w:rsidP="0004680D">
      <w:pPr>
        <w:pStyle w:val="ColorfulShading-Accent31"/>
        <w:ind w:left="0"/>
        <w:jc w:val="both"/>
        <w:rPr>
          <w:rFonts w:ascii="Times New Roman" w:hAnsi="Times New Roman"/>
          <w:sz w:val="24"/>
          <w:szCs w:val="24"/>
        </w:rPr>
      </w:pPr>
    </w:p>
    <w:p w:rsidR="0004680D" w:rsidRDefault="0004680D" w:rsidP="0004680D">
      <w:pPr>
        <w:pStyle w:val="ColorfulShading-Accent31"/>
        <w:numPr>
          <w:ilvl w:val="0"/>
          <w:numId w:val="6"/>
        </w:numPr>
        <w:contextualSpacing w:val="0"/>
        <w:jc w:val="both"/>
        <w:rPr>
          <w:rFonts w:ascii="Times New Roman" w:hAnsi="Times New Roman"/>
          <w:sz w:val="24"/>
          <w:szCs w:val="24"/>
        </w:rPr>
      </w:pPr>
      <w:r w:rsidRPr="00D50931">
        <w:rPr>
          <w:rFonts w:ascii="Times New Roman" w:hAnsi="Times New Roman"/>
          <w:sz w:val="24"/>
          <w:szCs w:val="24"/>
        </w:rPr>
        <w:t>Click once on the plus sign on the left side of the InVEST toolbox t</w:t>
      </w:r>
      <w:r>
        <w:rPr>
          <w:rFonts w:ascii="Times New Roman" w:hAnsi="Times New Roman"/>
          <w:sz w:val="24"/>
          <w:szCs w:val="24"/>
        </w:rPr>
        <w:t>o see the list of tools expand.</w:t>
      </w:r>
      <w:r w:rsidRPr="00D50931">
        <w:rPr>
          <w:rFonts w:ascii="Times New Roman" w:hAnsi="Times New Roman"/>
          <w:sz w:val="24"/>
          <w:szCs w:val="24"/>
        </w:rPr>
        <w:t xml:space="preserve"> Double-click on Pollination.</w:t>
      </w:r>
    </w:p>
    <w:p w:rsidR="0004680D" w:rsidRDefault="0004680D" w:rsidP="0004680D">
      <w:pPr>
        <w:pStyle w:val="ColorfulShading-Accent31"/>
        <w:ind w:left="360"/>
        <w:contextualSpacing w:val="0"/>
        <w:jc w:val="both"/>
        <w:rPr>
          <w:rFonts w:ascii="Times New Roman" w:hAnsi="Times New Roman"/>
          <w:sz w:val="24"/>
          <w:szCs w:val="24"/>
        </w:rPr>
      </w:pPr>
    </w:p>
    <w:p w:rsidR="0004680D" w:rsidRDefault="0004680D" w:rsidP="0004680D">
      <w:pPr>
        <w:pStyle w:val="ColorfulShading-Accent31"/>
        <w:ind w:left="360"/>
        <w:contextualSpacing w:val="0"/>
        <w:jc w:val="both"/>
        <w:rPr>
          <w:rFonts w:ascii="Times New Roman" w:hAnsi="Times New Roman"/>
          <w:sz w:val="24"/>
          <w:szCs w:val="24"/>
        </w:rPr>
      </w:pPr>
      <w:r>
        <w:rPr>
          <w:rFonts w:ascii="Times New Roman" w:hAnsi="Times New Roman"/>
          <w:noProof/>
          <w:sz w:val="24"/>
          <w:szCs w:val="24"/>
        </w:rPr>
        <w:drawing>
          <wp:inline distT="0" distB="0" distL="0" distR="0">
            <wp:extent cx="5760720" cy="4094480"/>
            <wp:effectExtent l="25400" t="0" r="5080" b="0"/>
            <wp:docPr id="371" name="Picture 371" descr="invest_screen_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nvest_screen_poll"/>
                    <pic:cNvPicPr>
                      <a:picLocks noChangeAspect="1" noChangeArrowheads="1"/>
                    </pic:cNvPicPr>
                  </pic:nvPicPr>
                  <pic:blipFill>
                    <a:blip r:embed="rId18" cstate="print"/>
                    <a:srcRect/>
                    <a:stretch>
                      <a:fillRect/>
                    </a:stretch>
                  </pic:blipFill>
                  <pic:spPr bwMode="auto">
                    <a:xfrm>
                      <a:off x="0" y="0"/>
                      <a:ext cx="5760720" cy="4094480"/>
                    </a:xfrm>
                    <a:prstGeom prst="rect">
                      <a:avLst/>
                    </a:prstGeom>
                    <a:noFill/>
                    <a:ln w="9525">
                      <a:noFill/>
                      <a:miter lim="800000"/>
                      <a:headEnd/>
                      <a:tailEnd/>
                    </a:ln>
                  </pic:spPr>
                </pic:pic>
              </a:graphicData>
            </a:graphic>
          </wp:inline>
        </w:drawing>
      </w:r>
      <w:r w:rsidRPr="00D50931">
        <w:rPr>
          <w:rFonts w:ascii="Times New Roman" w:hAnsi="Times New Roman"/>
          <w:sz w:val="24"/>
          <w:szCs w:val="24"/>
        </w:rPr>
        <w:t xml:space="preserve">   </w:t>
      </w:r>
    </w:p>
    <w:p w:rsidR="0004680D" w:rsidRDefault="0004680D" w:rsidP="0004680D">
      <w:pPr>
        <w:pStyle w:val="ColorfulShading-Accent31"/>
        <w:ind w:left="360"/>
        <w:contextualSpacing w:val="0"/>
        <w:jc w:val="both"/>
        <w:rPr>
          <w:rFonts w:ascii="Times New Roman" w:hAnsi="Times New Roman"/>
          <w:sz w:val="24"/>
          <w:szCs w:val="24"/>
        </w:rPr>
      </w:pPr>
    </w:p>
    <w:p w:rsidR="0004680D" w:rsidRDefault="0004680D" w:rsidP="0004680D">
      <w:pPr>
        <w:pStyle w:val="ColorfulShading-Accent31"/>
        <w:numPr>
          <w:ilvl w:val="0"/>
          <w:numId w:val="6"/>
        </w:numPr>
        <w:contextualSpacing w:val="0"/>
        <w:jc w:val="both"/>
      </w:pPr>
      <w:r w:rsidRPr="008122D3">
        <w:rPr>
          <w:rFonts w:ascii="Times New Roman" w:hAnsi="Times New Roman"/>
          <w:sz w:val="24"/>
          <w:szCs w:val="24"/>
        </w:rPr>
        <w:t xml:space="preserve">An interface will </w:t>
      </w:r>
      <w:r>
        <w:rPr>
          <w:rFonts w:ascii="Times New Roman" w:hAnsi="Times New Roman"/>
          <w:sz w:val="24"/>
          <w:szCs w:val="24"/>
        </w:rPr>
        <w:t>appear</w:t>
      </w:r>
      <w:r w:rsidRPr="008122D3">
        <w:rPr>
          <w:rFonts w:ascii="Times New Roman" w:hAnsi="Times New Roman"/>
          <w:sz w:val="24"/>
          <w:szCs w:val="24"/>
        </w:rPr>
        <w:t xml:space="preserve"> like the one </w:t>
      </w:r>
      <w:r>
        <w:rPr>
          <w:rFonts w:ascii="Times New Roman" w:hAnsi="Times New Roman"/>
          <w:sz w:val="24"/>
          <w:szCs w:val="24"/>
        </w:rPr>
        <w:t>below that</w:t>
      </w:r>
      <w:r w:rsidRPr="008122D3">
        <w:rPr>
          <w:rFonts w:ascii="Times New Roman" w:hAnsi="Times New Roman"/>
          <w:sz w:val="24"/>
          <w:szCs w:val="24"/>
        </w:rPr>
        <w:t xml:space="preserve"> indicates default file names but you can use the file buttons to browse to you</w:t>
      </w:r>
      <w:r>
        <w:rPr>
          <w:rFonts w:ascii="Times New Roman" w:hAnsi="Times New Roman"/>
          <w:sz w:val="24"/>
          <w:szCs w:val="24"/>
        </w:rPr>
        <w:t>r</w:t>
      </w:r>
      <w:r w:rsidRPr="008122D3">
        <w:rPr>
          <w:rFonts w:ascii="Times New Roman" w:hAnsi="Times New Roman"/>
          <w:sz w:val="24"/>
          <w:szCs w:val="24"/>
        </w:rPr>
        <w:t xml:space="preserve"> data.  When you place your cursor in each space, you can read a description of the data requirements in the right side of the interface.  </w:t>
      </w:r>
      <w:r>
        <w:rPr>
          <w:rFonts w:ascii="Times New Roman" w:hAnsi="Times New Roman"/>
          <w:sz w:val="24"/>
          <w:szCs w:val="24"/>
        </w:rPr>
        <w:t>R</w:t>
      </w:r>
      <w:r w:rsidRPr="008122D3">
        <w:rPr>
          <w:rFonts w:ascii="Times New Roman" w:hAnsi="Times New Roman"/>
          <w:sz w:val="24"/>
          <w:szCs w:val="24"/>
        </w:rPr>
        <w:t xml:space="preserve">efer to the </w:t>
      </w:r>
      <w:r w:rsidRPr="008122D3">
        <w:rPr>
          <w:rFonts w:ascii="Times New Roman" w:hAnsi="Times New Roman"/>
          <w:b/>
          <w:i/>
          <w:sz w:val="24"/>
          <w:szCs w:val="24"/>
        </w:rPr>
        <w:t>Data Needs</w:t>
      </w:r>
      <w:r w:rsidRPr="008122D3">
        <w:rPr>
          <w:rFonts w:ascii="Times New Roman" w:hAnsi="Times New Roman"/>
          <w:sz w:val="24"/>
          <w:szCs w:val="24"/>
        </w:rPr>
        <w:t xml:space="preserve"> section for information on data formats.</w:t>
      </w:r>
    </w:p>
    <w:p w:rsidR="0004680D" w:rsidRDefault="0004680D" w:rsidP="0004680D">
      <w:pPr>
        <w:jc w:val="both"/>
      </w:pPr>
    </w:p>
    <w:p w:rsidR="0004680D" w:rsidRDefault="0004680D" w:rsidP="0004680D">
      <w:pPr>
        <w:jc w:val="center"/>
        <w:rPr>
          <w:noProof/>
        </w:rPr>
      </w:pPr>
    </w:p>
    <w:p w:rsidR="0004680D" w:rsidRDefault="0004680D" w:rsidP="0004680D">
      <w:r>
        <w:rPr>
          <w:noProof/>
        </w:rPr>
        <w:lastRenderedPageBreak/>
        <w:drawing>
          <wp:inline distT="0" distB="0" distL="0" distR="0">
            <wp:extent cx="5943600" cy="5039360"/>
            <wp:effectExtent l="2540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9" cstate="print"/>
                    <a:srcRect/>
                    <a:stretch>
                      <a:fillRect/>
                    </a:stretch>
                  </pic:blipFill>
                  <pic:spPr bwMode="auto">
                    <a:xfrm>
                      <a:off x="0" y="0"/>
                      <a:ext cx="5943600" cy="5039360"/>
                    </a:xfrm>
                    <a:prstGeom prst="rect">
                      <a:avLst/>
                    </a:prstGeom>
                    <a:noFill/>
                    <a:ln w="9525">
                      <a:noFill/>
                      <a:miter lim="800000"/>
                      <a:headEnd/>
                      <a:tailEnd/>
                    </a:ln>
                  </pic:spPr>
                </pic:pic>
              </a:graphicData>
            </a:graphic>
          </wp:inline>
        </w:drawing>
      </w:r>
    </w:p>
    <w:p w:rsidR="0004680D" w:rsidRDefault="0004680D" w:rsidP="0004680D">
      <w:pPr>
        <w:pStyle w:val="ColorfulShading-Accent31"/>
        <w:ind w:left="0"/>
        <w:jc w:val="both"/>
        <w:rPr>
          <w:rFonts w:ascii="Times New Roman" w:hAnsi="Times New Roman"/>
          <w:sz w:val="24"/>
          <w:szCs w:val="24"/>
        </w:rPr>
      </w:pPr>
    </w:p>
    <w:p w:rsidR="0004680D" w:rsidRDefault="0004680D" w:rsidP="0004680D">
      <w:pPr>
        <w:pStyle w:val="ColorfulShading-Accent31"/>
        <w:jc w:val="both"/>
        <w:rPr>
          <w:rFonts w:ascii="Times New Roman" w:hAnsi="Times New Roman"/>
          <w:sz w:val="24"/>
          <w:szCs w:val="24"/>
        </w:rPr>
      </w:pPr>
    </w:p>
    <w:p w:rsidR="0004680D" w:rsidRDefault="0004680D" w:rsidP="0004680D">
      <w:pPr>
        <w:pStyle w:val="ColorfulShading-Accent31"/>
        <w:numPr>
          <w:ilvl w:val="0"/>
          <w:numId w:val="8"/>
        </w:numPr>
        <w:contextualSpacing w:val="0"/>
        <w:jc w:val="both"/>
        <w:rPr>
          <w:rFonts w:ascii="Times New Roman" w:hAnsi="Times New Roman"/>
          <w:sz w:val="24"/>
          <w:szCs w:val="24"/>
        </w:rPr>
      </w:pPr>
      <w:r w:rsidRPr="008122D3">
        <w:rPr>
          <w:rFonts w:ascii="Times New Roman" w:hAnsi="Times New Roman"/>
          <w:sz w:val="24"/>
          <w:szCs w:val="24"/>
        </w:rPr>
        <w:t xml:space="preserve">Fill in data file names and values for all required prompts.  Unless the space is indicated as optional, </w:t>
      </w:r>
      <w:r>
        <w:rPr>
          <w:rFonts w:ascii="Times New Roman" w:hAnsi="Times New Roman"/>
          <w:sz w:val="24"/>
          <w:szCs w:val="24"/>
        </w:rPr>
        <w:t xml:space="preserve">inputs are </w:t>
      </w:r>
      <w:r w:rsidRPr="008122D3">
        <w:rPr>
          <w:rFonts w:ascii="Times New Roman" w:hAnsi="Times New Roman"/>
          <w:sz w:val="24"/>
          <w:szCs w:val="24"/>
        </w:rPr>
        <w:t>require</w:t>
      </w:r>
      <w:r>
        <w:rPr>
          <w:rFonts w:ascii="Times New Roman" w:hAnsi="Times New Roman"/>
          <w:sz w:val="24"/>
          <w:szCs w:val="24"/>
        </w:rPr>
        <w:t>d</w:t>
      </w:r>
      <w:r w:rsidRPr="008122D3">
        <w:rPr>
          <w:rFonts w:ascii="Times New Roman" w:hAnsi="Times New Roman"/>
          <w:sz w:val="24"/>
          <w:szCs w:val="24"/>
        </w:rPr>
        <w:t xml:space="preserve">.  </w:t>
      </w:r>
    </w:p>
    <w:p w:rsidR="0004680D" w:rsidRDefault="0004680D" w:rsidP="0004680D">
      <w:pPr>
        <w:pStyle w:val="ColorfulShading-Accent31"/>
        <w:jc w:val="both"/>
        <w:rPr>
          <w:rFonts w:ascii="Times New Roman" w:hAnsi="Times New Roman"/>
          <w:sz w:val="24"/>
          <w:szCs w:val="24"/>
        </w:rPr>
      </w:pPr>
    </w:p>
    <w:p w:rsidR="0004680D" w:rsidRDefault="0004680D" w:rsidP="0004680D">
      <w:pPr>
        <w:pStyle w:val="ColorfulShading-Accent31"/>
        <w:numPr>
          <w:ilvl w:val="0"/>
          <w:numId w:val="7"/>
        </w:numPr>
        <w:contextualSpacing w:val="0"/>
        <w:jc w:val="both"/>
        <w:rPr>
          <w:rFonts w:ascii="Times New Roman" w:hAnsi="Times New Roman"/>
          <w:sz w:val="24"/>
          <w:szCs w:val="24"/>
        </w:rPr>
      </w:pPr>
      <w:r w:rsidRPr="008122D3">
        <w:rPr>
          <w:rFonts w:ascii="Times New Roman" w:hAnsi="Times New Roman"/>
          <w:sz w:val="24"/>
          <w:szCs w:val="24"/>
        </w:rPr>
        <w:t>After enter</w:t>
      </w:r>
      <w:r>
        <w:rPr>
          <w:rFonts w:ascii="Times New Roman" w:hAnsi="Times New Roman"/>
          <w:sz w:val="24"/>
          <w:szCs w:val="24"/>
        </w:rPr>
        <w:t>ing</w:t>
      </w:r>
      <w:r w:rsidRPr="008122D3">
        <w:rPr>
          <w:rFonts w:ascii="Times New Roman" w:hAnsi="Times New Roman"/>
          <w:sz w:val="24"/>
          <w:szCs w:val="24"/>
        </w:rPr>
        <w:t xml:space="preserve"> all required</w:t>
      </w:r>
      <w:r>
        <w:rPr>
          <w:rFonts w:ascii="Times New Roman" w:hAnsi="Times New Roman"/>
          <w:sz w:val="24"/>
          <w:szCs w:val="24"/>
        </w:rPr>
        <w:t xml:space="preserve"> data</w:t>
      </w:r>
      <w:r w:rsidRPr="008122D3">
        <w:rPr>
          <w:rFonts w:ascii="Times New Roman" w:hAnsi="Times New Roman"/>
          <w:sz w:val="24"/>
          <w:szCs w:val="24"/>
        </w:rPr>
        <w:t xml:space="preserve">, click </w:t>
      </w:r>
      <w:r w:rsidRPr="008122D3">
        <w:rPr>
          <w:rFonts w:ascii="Times New Roman" w:hAnsi="Times New Roman"/>
          <w:smallCaps/>
          <w:sz w:val="24"/>
          <w:szCs w:val="24"/>
        </w:rPr>
        <w:t>OK</w:t>
      </w:r>
      <w:r w:rsidRPr="008122D3">
        <w:rPr>
          <w:rFonts w:ascii="Times New Roman" w:hAnsi="Times New Roman"/>
          <w:sz w:val="24"/>
          <w:szCs w:val="24"/>
        </w:rPr>
        <w:t>.  The script will run, and its progress will be indicated by a “Progress dialogue</w:t>
      </w:r>
      <w:r>
        <w:rPr>
          <w:rFonts w:ascii="Times New Roman" w:hAnsi="Times New Roman"/>
          <w:sz w:val="24"/>
          <w:szCs w:val="24"/>
        </w:rPr>
        <w:t>.</w:t>
      </w:r>
      <w:r w:rsidRPr="008122D3">
        <w:rPr>
          <w:rFonts w:ascii="Times New Roman" w:hAnsi="Times New Roman"/>
          <w:sz w:val="24"/>
          <w:szCs w:val="24"/>
        </w:rPr>
        <w:t>”</w:t>
      </w:r>
      <w:r>
        <w:rPr>
          <w:rFonts w:ascii="Times New Roman" w:hAnsi="Times New Roman"/>
          <w:sz w:val="24"/>
          <w:szCs w:val="24"/>
        </w:rPr>
        <w:t xml:space="preserve"> </w:t>
      </w:r>
    </w:p>
    <w:p w:rsidR="0004680D" w:rsidRDefault="0004680D" w:rsidP="0004680D">
      <w:pPr>
        <w:pStyle w:val="ColorfulShading-Accent31"/>
        <w:ind w:left="0"/>
        <w:rPr>
          <w:rFonts w:ascii="Times New Roman" w:hAnsi="Times New Roman"/>
          <w:sz w:val="24"/>
          <w:szCs w:val="24"/>
        </w:rPr>
      </w:pPr>
    </w:p>
    <w:p w:rsidR="0004680D" w:rsidRDefault="0004680D" w:rsidP="0004680D">
      <w:pPr>
        <w:pStyle w:val="ColorfulShading-Accent31"/>
        <w:numPr>
          <w:ilvl w:val="0"/>
          <w:numId w:val="7"/>
        </w:numPr>
        <w:contextualSpacing w:val="0"/>
        <w:jc w:val="both"/>
        <w:rPr>
          <w:rFonts w:ascii="Times New Roman" w:hAnsi="Times New Roman"/>
          <w:sz w:val="24"/>
          <w:szCs w:val="24"/>
        </w:rPr>
      </w:pPr>
      <w:r>
        <w:rPr>
          <w:rFonts w:ascii="Times New Roman" w:hAnsi="Times New Roman"/>
          <w:sz w:val="24"/>
          <w:szCs w:val="24"/>
        </w:rPr>
        <w:t>The successful running of the model and the time it takes depends on a combination of the following factors:</w:t>
      </w:r>
    </w:p>
    <w:p w:rsidR="0004680D" w:rsidRDefault="0004680D" w:rsidP="0004680D">
      <w:pPr>
        <w:pStyle w:val="ColorfulShading-Accent31"/>
        <w:rPr>
          <w:rFonts w:ascii="Times New Roman" w:hAnsi="Times New Roman"/>
          <w:sz w:val="24"/>
          <w:szCs w:val="24"/>
        </w:rPr>
      </w:pPr>
      <w:r>
        <w:rPr>
          <w:rFonts w:ascii="Times New Roman" w:hAnsi="Times New Roman"/>
          <w:sz w:val="24"/>
          <w:szCs w:val="24"/>
        </w:rPr>
        <w:t xml:space="preserve">  </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t>Size of landscape: If your landscape is very large (e.g., &gt;3 million cells) then you may experience problems. Consider either entering a larger resolution than the original resolution of the image or cropping your image to a smaller extent.</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t>Resolution: The cell size chosen for the model run determines the effective number of cells that the model has to handle. Select this carefully depending on the pollinator flight distances.</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lastRenderedPageBreak/>
        <w:t>Foraging distances (Alpha): If the Alphas of the pollinators are large (&gt;1000m) then the distance matrix becomes large, which results in a long run time or potential crashing.</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t>Number of pollinator species: Since the model processes each pollinator in turn, the more species you have the longer it takes to complete the run.</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t>Your computer: The memory and speed of your computer will determine the success and speed of your run. It is preferable to have at least 2GB memory and enough free disk space.</w:t>
      </w:r>
    </w:p>
    <w:p w:rsidR="0004680D" w:rsidRDefault="0004680D" w:rsidP="0004680D">
      <w:pPr>
        <w:pStyle w:val="ColorfulShading-Accent31"/>
        <w:numPr>
          <w:ilvl w:val="1"/>
          <w:numId w:val="7"/>
        </w:numPr>
        <w:contextualSpacing w:val="0"/>
        <w:jc w:val="both"/>
        <w:rPr>
          <w:rFonts w:ascii="Times New Roman" w:hAnsi="Times New Roman"/>
          <w:sz w:val="24"/>
          <w:szCs w:val="24"/>
        </w:rPr>
      </w:pPr>
      <w:r>
        <w:rPr>
          <w:rFonts w:ascii="Times New Roman" w:hAnsi="Times New Roman"/>
          <w:sz w:val="24"/>
          <w:szCs w:val="24"/>
        </w:rPr>
        <w:t>On a 3GB memory computer with a 3.5 million cells and 56m resolution, 4 pollinators with alphas between 100m and 2000m the model takes up to 3 hours to run.</w:t>
      </w:r>
    </w:p>
    <w:p w:rsidR="0004680D" w:rsidRPr="00835804" w:rsidRDefault="0004680D" w:rsidP="0004680D">
      <w:pPr>
        <w:pStyle w:val="ColorfulShading-Accent31"/>
        <w:jc w:val="both"/>
        <w:rPr>
          <w:rFonts w:ascii="Times New Roman" w:hAnsi="Times New Roman"/>
          <w:sz w:val="24"/>
          <w:szCs w:val="24"/>
        </w:rPr>
      </w:pPr>
    </w:p>
    <w:p w:rsidR="0004680D" w:rsidRDefault="0004680D" w:rsidP="0004680D">
      <w:pPr>
        <w:pStyle w:val="ColorfulShading-Accent31"/>
        <w:numPr>
          <w:ilvl w:val="0"/>
          <w:numId w:val="7"/>
        </w:numPr>
        <w:contextualSpacing w:val="0"/>
        <w:jc w:val="both"/>
        <w:rPr>
          <w:rFonts w:ascii="Times New Roman" w:hAnsi="Times New Roman"/>
          <w:sz w:val="24"/>
          <w:szCs w:val="24"/>
        </w:rPr>
      </w:pPr>
      <w:r>
        <w:rPr>
          <w:rFonts w:ascii="Times New Roman" w:hAnsi="Times New Roman"/>
          <w:sz w:val="24"/>
          <w:szCs w:val="24"/>
        </w:rPr>
        <w:t>Upon successful completion of the model, you will see two new folders in your workspace called “output” for final maps and “intermediate” for intermediate results.  The folders should contain several raster grids, described in the next section.</w:t>
      </w:r>
    </w:p>
    <w:p w:rsidR="0004680D" w:rsidRDefault="0004680D" w:rsidP="0004680D">
      <w:pPr>
        <w:pStyle w:val="ColorfulShading-Accent31"/>
        <w:ind w:left="0"/>
        <w:contextualSpacing w:val="0"/>
        <w:jc w:val="both"/>
        <w:rPr>
          <w:rFonts w:ascii="Times New Roman" w:hAnsi="Times New Roman"/>
          <w:sz w:val="24"/>
          <w:szCs w:val="24"/>
        </w:rPr>
      </w:pPr>
      <w:r>
        <w:rPr>
          <w:noProof/>
        </w:rPr>
        <w:drawing>
          <wp:anchor distT="0" distB="0" distL="114300" distR="114300" simplePos="0" relativeHeight="251659264" behindDoc="0" locked="0" layoutInCell="1" allowOverlap="1">
            <wp:simplePos x="0" y="0"/>
            <wp:positionH relativeFrom="column">
              <wp:posOffset>6174740</wp:posOffset>
            </wp:positionH>
            <wp:positionV relativeFrom="paragraph">
              <wp:posOffset>43180</wp:posOffset>
            </wp:positionV>
            <wp:extent cx="342900" cy="304800"/>
            <wp:effectExtent l="25400" t="0" r="0" b="0"/>
            <wp:wrapSquare wrapText="bothSides"/>
            <wp:docPr id="1170" name="Picture 1170" descr="ad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add_data"/>
                    <pic:cNvPicPr>
                      <a:picLocks noChangeAspect="1" noChangeArrowheads="1"/>
                    </pic:cNvPicPr>
                  </pic:nvPicPr>
                  <pic:blipFill>
                    <a:blip r:embed="rId20" cstate="print"/>
                    <a:srcRect/>
                    <a:stretch>
                      <a:fillRect/>
                    </a:stretch>
                  </pic:blipFill>
                  <pic:spPr bwMode="auto">
                    <a:xfrm>
                      <a:off x="0" y="0"/>
                      <a:ext cx="342900" cy="304800"/>
                    </a:xfrm>
                    <a:prstGeom prst="rect">
                      <a:avLst/>
                    </a:prstGeom>
                    <a:noFill/>
                  </pic:spPr>
                </pic:pic>
              </a:graphicData>
            </a:graphic>
          </wp:anchor>
        </w:drawing>
      </w:r>
    </w:p>
    <w:p w:rsidR="0004680D" w:rsidRDefault="0004680D" w:rsidP="0004680D">
      <w:pPr>
        <w:numPr>
          <w:ilvl w:val="0"/>
          <w:numId w:val="7"/>
        </w:numPr>
        <w:jc w:val="both"/>
      </w:pPr>
      <w:r>
        <w:t xml:space="preserve">Load these grids into </w:t>
      </w:r>
      <w:r w:rsidRPr="00A1265D">
        <w:rPr>
          <w:smallCaps/>
        </w:rPr>
        <w:t>ArcMap</w:t>
      </w:r>
      <w:r>
        <w:t xml:space="preserve"> using the </w:t>
      </w:r>
      <w:r w:rsidRPr="006D444D">
        <w:rPr>
          <w:smallCaps/>
        </w:rPr>
        <w:t>Add Data</w:t>
      </w:r>
      <w:r>
        <w:t xml:space="preserve"> button. The next section further describes what these files mean.</w:t>
      </w:r>
    </w:p>
    <w:p w:rsidR="0004680D" w:rsidRDefault="0004680D" w:rsidP="0004680D">
      <w:pPr>
        <w:jc w:val="both"/>
      </w:pPr>
    </w:p>
    <w:p w:rsidR="0004680D" w:rsidRDefault="0004680D" w:rsidP="0004680D">
      <w:pPr>
        <w:pStyle w:val="ColorfulShading-Accent31"/>
        <w:numPr>
          <w:ilvl w:val="0"/>
          <w:numId w:val="7"/>
        </w:numPr>
        <w:contextualSpacing w:val="0"/>
        <w:jc w:val="both"/>
        <w:rPr>
          <w:rFonts w:ascii="Times New Roman" w:hAnsi="Times New Roman"/>
          <w:sz w:val="24"/>
          <w:szCs w:val="24"/>
        </w:rPr>
      </w:pPr>
      <w:r>
        <w:rPr>
          <w:rFonts w:ascii="Times New Roman" w:hAnsi="Times New Roman"/>
          <w:sz w:val="24"/>
          <w:szCs w:val="24"/>
        </w:rPr>
        <w:t>To</w:t>
      </w:r>
      <w:r w:rsidRPr="008122D3">
        <w:rPr>
          <w:rFonts w:ascii="Times New Roman" w:hAnsi="Times New Roman"/>
          <w:sz w:val="24"/>
          <w:szCs w:val="24"/>
        </w:rPr>
        <w:t xml:space="preserve"> change the symbology of a layer</w:t>
      </w:r>
      <w:r>
        <w:rPr>
          <w:rFonts w:ascii="Times New Roman" w:hAnsi="Times New Roman"/>
          <w:sz w:val="24"/>
          <w:szCs w:val="24"/>
        </w:rPr>
        <w:t>,</w:t>
      </w:r>
      <w:r w:rsidRPr="008122D3">
        <w:rPr>
          <w:rFonts w:ascii="Times New Roman" w:hAnsi="Times New Roman"/>
          <w:sz w:val="24"/>
          <w:szCs w:val="24"/>
        </w:rPr>
        <w:t xml:space="preserve"> right-click on the layer name in the table of contents, select </w:t>
      </w:r>
      <w:r w:rsidRPr="008122D3">
        <w:rPr>
          <w:rFonts w:ascii="Times New Roman" w:hAnsi="Times New Roman"/>
          <w:smallCaps/>
          <w:sz w:val="24"/>
          <w:szCs w:val="24"/>
        </w:rPr>
        <w:t>Properties</w:t>
      </w:r>
      <w:r w:rsidRPr="008122D3">
        <w:rPr>
          <w:rFonts w:ascii="Times New Roman" w:hAnsi="Times New Roman"/>
          <w:sz w:val="24"/>
          <w:szCs w:val="24"/>
        </w:rPr>
        <w:t xml:space="preserve"> and then </w:t>
      </w:r>
      <w:r w:rsidRPr="008122D3">
        <w:rPr>
          <w:rFonts w:ascii="Times New Roman" w:hAnsi="Times New Roman"/>
          <w:smallCaps/>
          <w:sz w:val="24"/>
          <w:szCs w:val="24"/>
        </w:rPr>
        <w:t>Symbology</w:t>
      </w:r>
      <w:r w:rsidRPr="008122D3">
        <w:rPr>
          <w:rFonts w:ascii="Times New Roman" w:hAnsi="Times New Roman"/>
          <w:sz w:val="24"/>
          <w:szCs w:val="24"/>
        </w:rPr>
        <w:t>. There are many options to change the  file</w:t>
      </w:r>
      <w:r>
        <w:rPr>
          <w:rFonts w:ascii="Times New Roman" w:hAnsi="Times New Roman"/>
          <w:sz w:val="24"/>
          <w:szCs w:val="24"/>
        </w:rPr>
        <w:t>’s</w:t>
      </w:r>
      <w:r w:rsidRPr="008122D3">
        <w:rPr>
          <w:rFonts w:ascii="Times New Roman" w:hAnsi="Times New Roman"/>
          <w:sz w:val="24"/>
          <w:szCs w:val="24"/>
        </w:rPr>
        <w:t xml:space="preserve"> appear</w:t>
      </w:r>
      <w:r>
        <w:rPr>
          <w:rFonts w:ascii="Times New Roman" w:hAnsi="Times New Roman"/>
          <w:sz w:val="24"/>
          <w:szCs w:val="24"/>
        </w:rPr>
        <w:t>ance</w:t>
      </w:r>
      <w:r w:rsidRPr="008122D3">
        <w:rPr>
          <w:rFonts w:ascii="Times New Roman" w:hAnsi="Times New Roman"/>
          <w:sz w:val="24"/>
          <w:szCs w:val="24"/>
        </w:rPr>
        <w:t xml:space="preserve"> in the map.</w:t>
      </w:r>
    </w:p>
    <w:p w:rsidR="0004680D" w:rsidRDefault="0004680D" w:rsidP="0004680D">
      <w:pPr>
        <w:pStyle w:val="ColorfulShading-Accent31"/>
        <w:jc w:val="both"/>
        <w:rPr>
          <w:rFonts w:ascii="Times New Roman" w:hAnsi="Times New Roman"/>
          <w:sz w:val="24"/>
          <w:szCs w:val="24"/>
        </w:rPr>
      </w:pPr>
    </w:p>
    <w:p w:rsidR="0004680D" w:rsidRPr="00756AAA" w:rsidRDefault="0004680D" w:rsidP="0004680D">
      <w:pPr>
        <w:pStyle w:val="ColorfulShading-Accent31"/>
        <w:numPr>
          <w:ilvl w:val="0"/>
          <w:numId w:val="7"/>
        </w:numPr>
        <w:contextualSpacing w:val="0"/>
        <w:jc w:val="both"/>
        <w:rPr>
          <w:rFonts w:ascii="Times New Roman" w:hAnsi="Times New Roman"/>
          <w:sz w:val="24"/>
          <w:szCs w:val="24"/>
        </w:rPr>
      </w:pPr>
      <w:r>
        <w:rPr>
          <w:rFonts w:ascii="Times New Roman" w:hAnsi="Times New Roman"/>
          <w:sz w:val="24"/>
          <w:szCs w:val="24"/>
        </w:rPr>
        <w:t xml:space="preserve">To </w:t>
      </w:r>
      <w:r w:rsidRPr="008122D3">
        <w:rPr>
          <w:rFonts w:ascii="Times New Roman" w:hAnsi="Times New Roman"/>
          <w:sz w:val="24"/>
          <w:szCs w:val="24"/>
        </w:rPr>
        <w:t>view the attribute data of output files</w:t>
      </w:r>
      <w:r>
        <w:rPr>
          <w:rFonts w:ascii="Times New Roman" w:hAnsi="Times New Roman"/>
          <w:sz w:val="24"/>
          <w:szCs w:val="24"/>
        </w:rPr>
        <w:t>,</w:t>
      </w:r>
      <w:r w:rsidRPr="008122D3">
        <w:rPr>
          <w:rFonts w:ascii="Times New Roman" w:hAnsi="Times New Roman"/>
          <w:sz w:val="24"/>
          <w:szCs w:val="24"/>
        </w:rPr>
        <w:t xml:space="preserve"> right click a layer and select </w:t>
      </w:r>
      <w:r w:rsidRPr="008122D3">
        <w:rPr>
          <w:rFonts w:ascii="Times New Roman" w:hAnsi="Times New Roman"/>
          <w:smallCaps/>
          <w:sz w:val="24"/>
          <w:szCs w:val="24"/>
        </w:rPr>
        <w:t>Open Attribute Table</w:t>
      </w:r>
      <w:r w:rsidRPr="008122D3">
        <w:rPr>
          <w:rFonts w:ascii="Times New Roman" w:hAnsi="Times New Roman"/>
          <w:sz w:val="24"/>
          <w:szCs w:val="24"/>
        </w:rPr>
        <w:t>.</w:t>
      </w:r>
    </w:p>
    <w:p w:rsidR="0004680D" w:rsidRDefault="0004680D" w:rsidP="0004680D">
      <w:pPr>
        <w:ind w:left="360"/>
        <w:jc w:val="both"/>
      </w:pPr>
    </w:p>
    <w:p w:rsidR="0004680D" w:rsidRPr="009504B9" w:rsidRDefault="0004680D" w:rsidP="0004680D">
      <w:pPr>
        <w:pStyle w:val="Heading2"/>
        <w:ind w:left="-270"/>
        <w:jc w:val="both"/>
        <w:rPr>
          <w:rFonts w:ascii="Cambria" w:hAnsi="Cambria"/>
        </w:rPr>
      </w:pPr>
      <w:bookmarkStart w:id="7" w:name="_Toc158980632"/>
      <w:r w:rsidRPr="009504B9">
        <w:rPr>
          <w:rFonts w:ascii="Cambria" w:hAnsi="Cambria"/>
        </w:rPr>
        <w:t>Interpreting results</w:t>
      </w:r>
      <w:bookmarkEnd w:id="7"/>
    </w:p>
    <w:p w:rsidR="0004680D" w:rsidRPr="0082793F" w:rsidRDefault="0004680D" w:rsidP="0004680D">
      <w:pPr>
        <w:pStyle w:val="Heading3"/>
        <w:jc w:val="both"/>
        <w:rPr>
          <w:rFonts w:ascii="Cambria" w:hAnsi="Cambria"/>
          <w:iCs/>
        </w:rPr>
      </w:pPr>
      <w:bookmarkStart w:id="8" w:name="_Toc122865257"/>
      <w:bookmarkStart w:id="9" w:name="_Toc122865356"/>
      <w:bookmarkStart w:id="10" w:name="_Toc122956804"/>
      <w:bookmarkStart w:id="11" w:name="_Toc122970712"/>
      <w:bookmarkStart w:id="12" w:name="_Toc122971246"/>
      <w:bookmarkStart w:id="13" w:name="_Toc122971588"/>
      <w:bookmarkStart w:id="14" w:name="_Toc122971698"/>
      <w:bookmarkStart w:id="15" w:name="_Toc158980633"/>
      <w:r w:rsidRPr="0082793F">
        <w:rPr>
          <w:rFonts w:ascii="Cambria" w:hAnsi="Cambria"/>
          <w:iCs/>
        </w:rPr>
        <w:t>Parameter Log</w:t>
      </w:r>
      <w:bookmarkEnd w:id="8"/>
      <w:bookmarkEnd w:id="9"/>
      <w:bookmarkEnd w:id="10"/>
      <w:bookmarkEnd w:id="11"/>
      <w:bookmarkEnd w:id="12"/>
      <w:bookmarkEnd w:id="13"/>
      <w:bookmarkEnd w:id="14"/>
      <w:bookmarkEnd w:id="15"/>
    </w:p>
    <w:p w:rsidR="0004680D" w:rsidRPr="00F74FB5" w:rsidRDefault="0004680D" w:rsidP="0004680D">
      <w:pPr>
        <w:pStyle w:val="ColorfulShading-Accent31"/>
        <w:ind w:left="0"/>
        <w:jc w:val="both"/>
        <w:rPr>
          <w:rFonts w:ascii="Times New Roman" w:hAnsi="Times New Roman"/>
          <w:sz w:val="24"/>
          <w:szCs w:val="24"/>
        </w:rPr>
      </w:pPr>
      <w:r>
        <w:rPr>
          <w:rFonts w:ascii="Times New Roman" w:hAnsi="Times New Roman"/>
          <w:sz w:val="24"/>
          <w:szCs w:val="24"/>
        </w:rPr>
        <w:t>Each time the model is run, a</w:t>
      </w:r>
      <w:r w:rsidRPr="009819D1">
        <w:rPr>
          <w:rFonts w:ascii="Times New Roman" w:hAnsi="Times New Roman"/>
          <w:sz w:val="24"/>
          <w:szCs w:val="24"/>
        </w:rPr>
        <w:t xml:space="preserve"> text file</w:t>
      </w:r>
      <w:r>
        <w:rPr>
          <w:rFonts w:ascii="Times New Roman" w:hAnsi="Times New Roman"/>
          <w:sz w:val="24"/>
          <w:szCs w:val="24"/>
        </w:rPr>
        <w:t xml:space="preserve"> will appear in the output folder. This file lists the parameter values for that run and will be named according to the service, the date and time, and the suffix.</w:t>
      </w:r>
    </w:p>
    <w:p w:rsidR="0004680D" w:rsidRPr="009504B9" w:rsidRDefault="0004680D" w:rsidP="0004680D">
      <w:pPr>
        <w:pStyle w:val="Heading3"/>
        <w:jc w:val="both"/>
        <w:rPr>
          <w:rFonts w:ascii="Cambria" w:hAnsi="Cambria"/>
        </w:rPr>
      </w:pPr>
      <w:bookmarkStart w:id="16" w:name="_Toc158980634"/>
      <w:r w:rsidRPr="009504B9">
        <w:rPr>
          <w:rFonts w:ascii="Cambria" w:hAnsi="Cambria"/>
        </w:rPr>
        <w:t>Final results</w:t>
      </w:r>
      <w:bookmarkEnd w:id="16"/>
    </w:p>
    <w:p w:rsidR="0004680D" w:rsidRDefault="0004680D" w:rsidP="0004680D">
      <w:pPr>
        <w:pStyle w:val="ColorfulShading-Accent31"/>
        <w:suppressAutoHyphens/>
        <w:ind w:left="0"/>
        <w:jc w:val="both"/>
        <w:rPr>
          <w:rFonts w:ascii="Times New Roman" w:hAnsi="Times New Roman"/>
          <w:sz w:val="24"/>
          <w:szCs w:val="24"/>
        </w:rPr>
      </w:pPr>
      <w:r>
        <w:rPr>
          <w:rFonts w:ascii="Times New Roman" w:hAnsi="Times New Roman"/>
          <w:sz w:val="24"/>
          <w:szCs w:val="24"/>
        </w:rPr>
        <w:t>Final results are found in the “output” folder within the working directory you set up for this module.</w:t>
      </w:r>
    </w:p>
    <w:p w:rsidR="0004680D" w:rsidRPr="008E15B9" w:rsidRDefault="0004680D" w:rsidP="0004680D">
      <w:pPr>
        <w:pStyle w:val="ColorfulShading-Accent31"/>
        <w:suppressAutoHyphens/>
        <w:ind w:left="0"/>
        <w:jc w:val="both"/>
        <w:rPr>
          <w:rFonts w:ascii="Times New Roman" w:hAnsi="Times New Roman"/>
          <w:sz w:val="24"/>
          <w:szCs w:val="24"/>
        </w:rPr>
      </w:pPr>
    </w:p>
    <w:p w:rsidR="0004680D" w:rsidRDefault="0004680D" w:rsidP="0004680D">
      <w:pPr>
        <w:pStyle w:val="ColorfulShading-Accent31"/>
        <w:suppressAutoHyphens/>
        <w:ind w:left="0"/>
        <w:jc w:val="both"/>
        <w:rPr>
          <w:rFonts w:ascii="Times New Roman" w:hAnsi="Times New Roman"/>
          <w:sz w:val="24"/>
          <w:szCs w:val="24"/>
        </w:rPr>
      </w:pPr>
      <w:r>
        <w:rPr>
          <w:rFonts w:ascii="Times New Roman" w:hAnsi="Times New Roman"/>
          <w:sz w:val="24"/>
          <w:szCs w:val="24"/>
        </w:rPr>
        <w:t>Final results are found in the output folder within the working directory set up for this model.</w:t>
      </w:r>
    </w:p>
    <w:p w:rsidR="0004680D" w:rsidRPr="005E1F84" w:rsidRDefault="0004680D" w:rsidP="0004680D">
      <w:pPr>
        <w:pStyle w:val="ColorfulShading-Accent31"/>
        <w:suppressAutoHyphens/>
        <w:ind w:left="0"/>
        <w:jc w:val="both"/>
        <w:rPr>
          <w:rFonts w:ascii="Times New Roman" w:hAnsi="Times New Roman"/>
          <w:sz w:val="24"/>
          <w:szCs w:val="24"/>
        </w:rPr>
      </w:pPr>
    </w:p>
    <w:p w:rsidR="0004680D" w:rsidRPr="00F359BD" w:rsidRDefault="0004680D" w:rsidP="0004680D">
      <w:pPr>
        <w:pStyle w:val="ColorfulShading-Accent31"/>
        <w:numPr>
          <w:ilvl w:val="0"/>
          <w:numId w:val="10"/>
        </w:numPr>
        <w:suppressAutoHyphens/>
        <w:contextualSpacing w:val="0"/>
        <w:jc w:val="both"/>
        <w:rPr>
          <w:rFonts w:ascii="Times New Roman" w:hAnsi="Times New Roman"/>
          <w:sz w:val="24"/>
          <w:szCs w:val="24"/>
        </w:rPr>
      </w:pPr>
      <w:r>
        <w:rPr>
          <w:rFonts w:ascii="Times New Roman" w:hAnsi="Times New Roman"/>
          <w:b/>
          <w:bCs/>
          <w:i/>
          <w:sz w:val="24"/>
          <w:szCs w:val="24"/>
        </w:rPr>
        <w:t>sup</w:t>
      </w:r>
      <w:r w:rsidRPr="0082793F">
        <w:rPr>
          <w:rFonts w:ascii="Times New Roman" w:hAnsi="Times New Roman"/>
          <w:b/>
          <w:bCs/>
          <w:i/>
          <w:sz w:val="24"/>
          <w:szCs w:val="24"/>
        </w:rPr>
        <w:t>_tot_cur</w:t>
      </w:r>
      <w:r w:rsidRPr="0082793F">
        <w:rPr>
          <w:rFonts w:ascii="Times New Roman" w:hAnsi="Times New Roman"/>
          <w:b/>
          <w:bCs/>
          <w:sz w:val="24"/>
          <w:szCs w:val="24"/>
        </w:rPr>
        <w:t>:</w:t>
      </w:r>
      <w:r w:rsidRPr="00F359BD">
        <w:rPr>
          <w:rFonts w:ascii="Times New Roman" w:hAnsi="Times New Roman"/>
          <w:sz w:val="24"/>
          <w:szCs w:val="24"/>
        </w:rPr>
        <w:t xml:space="preserve"> This is a map of pollinator abundance index, summing over all bee species or guilds.  It represents an index of the likely abundance of pollinator species nesting on each cell in the landscape, given the availability of nesting sites and of flower (food) resources nearby.</w:t>
      </w:r>
    </w:p>
    <w:p w:rsidR="0004680D" w:rsidRPr="00F359BD" w:rsidRDefault="0004680D" w:rsidP="0004680D">
      <w:pPr>
        <w:pStyle w:val="ColorfulShading-Accent31"/>
        <w:numPr>
          <w:ilvl w:val="0"/>
          <w:numId w:val="10"/>
        </w:numPr>
        <w:suppressAutoHyphens/>
        <w:contextualSpacing w:val="0"/>
        <w:jc w:val="both"/>
        <w:rPr>
          <w:rFonts w:ascii="Times New Roman" w:hAnsi="Times New Roman"/>
          <w:sz w:val="24"/>
          <w:szCs w:val="24"/>
        </w:rPr>
      </w:pPr>
      <w:r>
        <w:rPr>
          <w:rFonts w:ascii="Times New Roman" w:hAnsi="Times New Roman"/>
          <w:b/>
          <w:bCs/>
          <w:i/>
          <w:sz w:val="24"/>
          <w:szCs w:val="24"/>
        </w:rPr>
        <w:t>sup</w:t>
      </w:r>
      <w:r w:rsidRPr="0082793F">
        <w:rPr>
          <w:rFonts w:ascii="Times New Roman" w:hAnsi="Times New Roman"/>
          <w:b/>
          <w:bCs/>
          <w:i/>
          <w:sz w:val="24"/>
          <w:szCs w:val="24"/>
        </w:rPr>
        <w:t>_tot_fut</w:t>
      </w:r>
      <w:r w:rsidRPr="0082793F">
        <w:rPr>
          <w:rFonts w:ascii="Times New Roman" w:hAnsi="Times New Roman"/>
          <w:b/>
          <w:bCs/>
          <w:sz w:val="24"/>
          <w:szCs w:val="24"/>
        </w:rPr>
        <w:t>:</w:t>
      </w:r>
      <w:r>
        <w:rPr>
          <w:rFonts w:ascii="Times New Roman" w:hAnsi="Times New Roman"/>
          <w:sz w:val="24"/>
          <w:szCs w:val="24"/>
        </w:rPr>
        <w:t xml:space="preserve"> </w:t>
      </w:r>
      <w:r w:rsidRPr="00F359BD">
        <w:rPr>
          <w:rFonts w:ascii="Times New Roman" w:hAnsi="Times New Roman"/>
          <w:sz w:val="24"/>
          <w:szCs w:val="24"/>
        </w:rPr>
        <w:t>The same as above, but for the future scenario land cover map</w:t>
      </w:r>
      <w:r>
        <w:rPr>
          <w:rFonts w:ascii="Times New Roman" w:hAnsi="Times New Roman"/>
          <w:sz w:val="24"/>
          <w:szCs w:val="24"/>
        </w:rPr>
        <w:t xml:space="preserve">, </w:t>
      </w:r>
      <w:r w:rsidRPr="00F359BD">
        <w:rPr>
          <w:rFonts w:ascii="Times New Roman" w:hAnsi="Times New Roman"/>
          <w:sz w:val="24"/>
          <w:szCs w:val="24"/>
        </w:rPr>
        <w:t xml:space="preserve">if provided.  </w:t>
      </w:r>
    </w:p>
    <w:p w:rsidR="0004680D" w:rsidRDefault="0004680D" w:rsidP="0004680D">
      <w:pPr>
        <w:pStyle w:val="ColorfulShading-Accent31"/>
        <w:numPr>
          <w:ilvl w:val="0"/>
          <w:numId w:val="10"/>
        </w:numPr>
        <w:suppressAutoHyphens/>
        <w:contextualSpacing w:val="0"/>
        <w:jc w:val="both"/>
        <w:rPr>
          <w:rFonts w:ascii="Times New Roman" w:hAnsi="Times New Roman"/>
          <w:sz w:val="24"/>
          <w:szCs w:val="24"/>
        </w:rPr>
      </w:pPr>
      <w:r>
        <w:rPr>
          <w:rFonts w:ascii="Times New Roman" w:hAnsi="Times New Roman"/>
          <w:b/>
          <w:bCs/>
          <w:i/>
          <w:sz w:val="24"/>
          <w:szCs w:val="24"/>
        </w:rPr>
        <w:lastRenderedPageBreak/>
        <w:t>f</w:t>
      </w:r>
      <w:r w:rsidRPr="0082793F">
        <w:rPr>
          <w:rFonts w:ascii="Times New Roman" w:hAnsi="Times New Roman"/>
          <w:b/>
          <w:bCs/>
          <w:i/>
          <w:sz w:val="24"/>
          <w:szCs w:val="24"/>
        </w:rPr>
        <w:t>rm_</w:t>
      </w:r>
      <w:r>
        <w:rPr>
          <w:rFonts w:ascii="Times New Roman" w:hAnsi="Times New Roman"/>
          <w:b/>
          <w:bCs/>
          <w:i/>
          <w:sz w:val="24"/>
          <w:szCs w:val="24"/>
        </w:rPr>
        <w:t>avg</w:t>
      </w:r>
      <w:r w:rsidRPr="0082793F">
        <w:rPr>
          <w:rFonts w:ascii="Times New Roman" w:hAnsi="Times New Roman"/>
          <w:b/>
          <w:bCs/>
          <w:i/>
          <w:sz w:val="24"/>
          <w:szCs w:val="24"/>
        </w:rPr>
        <w:t>_cur</w:t>
      </w:r>
      <w:r w:rsidRPr="0082793F">
        <w:rPr>
          <w:rFonts w:ascii="Times New Roman" w:hAnsi="Times New Roman"/>
          <w:b/>
          <w:bCs/>
          <w:sz w:val="24"/>
          <w:szCs w:val="24"/>
        </w:rPr>
        <w:t>:</w:t>
      </w:r>
      <w:r>
        <w:rPr>
          <w:rFonts w:ascii="Times New Roman" w:hAnsi="Times New Roman"/>
          <w:sz w:val="24"/>
          <w:szCs w:val="24"/>
        </w:rPr>
        <w:t xml:space="preserve"> </w:t>
      </w:r>
      <w:r w:rsidRPr="00F359BD">
        <w:rPr>
          <w:rFonts w:ascii="Times New Roman" w:hAnsi="Times New Roman"/>
          <w:sz w:val="24"/>
          <w:szCs w:val="24"/>
        </w:rPr>
        <w:t xml:space="preserve">This is a map of pollinator </w:t>
      </w:r>
      <w:r>
        <w:rPr>
          <w:rFonts w:ascii="Times New Roman" w:hAnsi="Times New Roman"/>
          <w:sz w:val="24"/>
          <w:szCs w:val="24"/>
        </w:rPr>
        <w:t xml:space="preserve">abundance </w:t>
      </w:r>
      <w:r w:rsidRPr="00F359BD">
        <w:rPr>
          <w:rFonts w:ascii="Times New Roman" w:hAnsi="Times New Roman"/>
          <w:sz w:val="24"/>
          <w:szCs w:val="24"/>
        </w:rPr>
        <w:t xml:space="preserve">on each </w:t>
      </w:r>
      <w:r>
        <w:rPr>
          <w:rFonts w:ascii="Times New Roman" w:hAnsi="Times New Roman"/>
          <w:sz w:val="24"/>
          <w:szCs w:val="24"/>
        </w:rPr>
        <w:t>agricultural</w:t>
      </w:r>
      <w:r w:rsidRPr="00F359BD">
        <w:rPr>
          <w:rFonts w:ascii="Times New Roman" w:hAnsi="Times New Roman"/>
          <w:sz w:val="24"/>
          <w:szCs w:val="24"/>
        </w:rPr>
        <w:t xml:space="preserve"> cell in the landscape, </w:t>
      </w:r>
      <w:r>
        <w:rPr>
          <w:rFonts w:ascii="Times New Roman" w:hAnsi="Times New Roman"/>
          <w:sz w:val="24"/>
          <w:szCs w:val="24"/>
        </w:rPr>
        <w:t>based on the average of all</w:t>
      </w:r>
      <w:r w:rsidRPr="00F359BD">
        <w:rPr>
          <w:rFonts w:ascii="Times New Roman" w:hAnsi="Times New Roman"/>
          <w:sz w:val="24"/>
          <w:szCs w:val="24"/>
        </w:rPr>
        <w:t xml:space="preserve"> bee species or guilds. It represents the likely </w:t>
      </w:r>
      <w:r>
        <w:rPr>
          <w:rFonts w:ascii="Times New Roman" w:hAnsi="Times New Roman"/>
          <w:sz w:val="24"/>
          <w:szCs w:val="24"/>
        </w:rPr>
        <w:t xml:space="preserve">average </w:t>
      </w:r>
      <w:r w:rsidRPr="00F359BD">
        <w:rPr>
          <w:rFonts w:ascii="Times New Roman" w:hAnsi="Times New Roman"/>
          <w:sz w:val="24"/>
          <w:szCs w:val="24"/>
        </w:rPr>
        <w:t xml:space="preserve">abundance of pollinators visiting each farm site. </w:t>
      </w:r>
    </w:p>
    <w:p w:rsidR="0004680D" w:rsidRDefault="0004680D" w:rsidP="0004680D">
      <w:pPr>
        <w:pStyle w:val="ColorfulShading-Accent31"/>
        <w:numPr>
          <w:ilvl w:val="0"/>
          <w:numId w:val="10"/>
        </w:numPr>
        <w:suppressAutoHyphens/>
        <w:contextualSpacing w:val="0"/>
        <w:jc w:val="both"/>
        <w:rPr>
          <w:rFonts w:ascii="Times New Roman" w:hAnsi="Times New Roman"/>
          <w:sz w:val="24"/>
          <w:szCs w:val="24"/>
        </w:rPr>
      </w:pPr>
      <w:r>
        <w:rPr>
          <w:rFonts w:ascii="Times New Roman" w:hAnsi="Times New Roman"/>
          <w:b/>
          <w:bCs/>
          <w:i/>
          <w:sz w:val="24"/>
          <w:szCs w:val="24"/>
        </w:rPr>
        <w:t>f</w:t>
      </w:r>
      <w:r w:rsidRPr="0082793F">
        <w:rPr>
          <w:rFonts w:ascii="Times New Roman" w:hAnsi="Times New Roman"/>
          <w:b/>
          <w:bCs/>
          <w:i/>
          <w:sz w:val="24"/>
          <w:szCs w:val="24"/>
        </w:rPr>
        <w:t>rm_</w:t>
      </w:r>
      <w:r>
        <w:rPr>
          <w:rFonts w:ascii="Times New Roman" w:hAnsi="Times New Roman"/>
          <w:b/>
          <w:bCs/>
          <w:i/>
          <w:sz w:val="24"/>
          <w:szCs w:val="24"/>
        </w:rPr>
        <w:t>avg</w:t>
      </w:r>
      <w:r w:rsidRPr="0082793F">
        <w:rPr>
          <w:rFonts w:ascii="Times New Roman" w:hAnsi="Times New Roman"/>
          <w:b/>
          <w:bCs/>
          <w:i/>
          <w:sz w:val="24"/>
          <w:szCs w:val="24"/>
        </w:rPr>
        <w:t>_fut</w:t>
      </w:r>
      <w:r w:rsidRPr="0082793F">
        <w:rPr>
          <w:rFonts w:ascii="Times New Roman" w:hAnsi="Times New Roman"/>
          <w:b/>
          <w:bCs/>
          <w:sz w:val="24"/>
          <w:szCs w:val="24"/>
        </w:rPr>
        <w:t>:</w:t>
      </w:r>
      <w:r>
        <w:rPr>
          <w:rFonts w:ascii="Times New Roman" w:hAnsi="Times New Roman"/>
          <w:sz w:val="24"/>
          <w:szCs w:val="24"/>
        </w:rPr>
        <w:t xml:space="preserve"> T</w:t>
      </w:r>
      <w:r w:rsidRPr="00F359BD">
        <w:rPr>
          <w:rFonts w:ascii="Times New Roman" w:hAnsi="Times New Roman"/>
          <w:sz w:val="24"/>
          <w:szCs w:val="24"/>
        </w:rPr>
        <w:t>he same as above, but for the future scenario land cover map, if provided.</w:t>
      </w:r>
    </w:p>
    <w:p w:rsidR="0004680D" w:rsidRPr="00597E1D" w:rsidRDefault="0004680D" w:rsidP="0004680D">
      <w:pPr>
        <w:pStyle w:val="ColorfulShading-Accent31"/>
        <w:numPr>
          <w:ilvl w:val="0"/>
          <w:numId w:val="10"/>
        </w:numPr>
        <w:suppressAutoHyphens/>
        <w:contextualSpacing w:val="0"/>
        <w:jc w:val="both"/>
        <w:rPr>
          <w:rFonts w:ascii="Times New Roman" w:hAnsi="Times New Roman"/>
          <w:i/>
          <w:sz w:val="24"/>
          <w:szCs w:val="24"/>
        </w:rPr>
      </w:pPr>
      <w:r>
        <w:rPr>
          <w:rFonts w:ascii="Times New Roman" w:hAnsi="Times New Roman"/>
          <w:b/>
          <w:i/>
          <w:sz w:val="24"/>
          <w:szCs w:val="24"/>
        </w:rPr>
        <w:t>s</w:t>
      </w:r>
      <w:r w:rsidRPr="005647FF">
        <w:rPr>
          <w:rFonts w:ascii="Times New Roman" w:hAnsi="Times New Roman"/>
          <w:b/>
          <w:i/>
          <w:sz w:val="24"/>
          <w:szCs w:val="24"/>
        </w:rPr>
        <w:t>up_val_</w:t>
      </w:r>
      <w:r w:rsidRPr="002A23FF">
        <w:rPr>
          <w:rFonts w:ascii="Times New Roman" w:hAnsi="Times New Roman"/>
          <w:b/>
          <w:i/>
          <w:sz w:val="24"/>
          <w:szCs w:val="24"/>
        </w:rPr>
        <w:t>cur</w:t>
      </w:r>
      <w:r w:rsidRPr="002A23FF">
        <w:rPr>
          <w:rFonts w:ascii="Times New Roman" w:hAnsi="Times New Roman"/>
          <w:b/>
          <w:sz w:val="24"/>
          <w:szCs w:val="24"/>
        </w:rPr>
        <w:t>:</w:t>
      </w:r>
      <w:r>
        <w:rPr>
          <w:rFonts w:ascii="Times New Roman" w:hAnsi="Times New Roman"/>
          <w:sz w:val="24"/>
          <w:szCs w:val="24"/>
        </w:rPr>
        <w:t xml:space="preserve"> This is a map of “pollinator service value”: the relative value of the pollinator “supply” in each agricultural cell to crop production in the surrounding neighborhood. It is an index derived by distributing the values in </w:t>
      </w:r>
      <w:r>
        <w:rPr>
          <w:rFonts w:ascii="Times New Roman" w:hAnsi="Times New Roman"/>
          <w:i/>
          <w:sz w:val="24"/>
          <w:szCs w:val="24"/>
        </w:rPr>
        <w:t>f</w:t>
      </w:r>
      <w:r w:rsidRPr="00255EBE">
        <w:rPr>
          <w:rFonts w:ascii="Times New Roman" w:hAnsi="Times New Roman"/>
          <w:i/>
          <w:sz w:val="24"/>
          <w:szCs w:val="24"/>
        </w:rPr>
        <w:t>rm_val_cur</w:t>
      </w:r>
      <w:r>
        <w:rPr>
          <w:rFonts w:ascii="Times New Roman" w:hAnsi="Times New Roman"/>
          <w:sz w:val="24"/>
          <w:szCs w:val="24"/>
        </w:rPr>
        <w:t xml:space="preserve"> (an intermediate result) back to surrounding pollinator sources, using information on flight ranges of contributing pollinators. This is a map of where pollination services are coming from, and their (relative) values.  Units are not dollars per se, but the index is a relative measure of economic value.</w:t>
      </w:r>
    </w:p>
    <w:p w:rsidR="0004680D" w:rsidRPr="00597E1D" w:rsidRDefault="0004680D" w:rsidP="0004680D">
      <w:pPr>
        <w:pStyle w:val="ColorfulShading-Accent31"/>
        <w:numPr>
          <w:ilvl w:val="0"/>
          <w:numId w:val="10"/>
        </w:numPr>
        <w:suppressAutoHyphens/>
        <w:contextualSpacing w:val="0"/>
        <w:jc w:val="both"/>
        <w:rPr>
          <w:rFonts w:ascii="Times New Roman" w:hAnsi="Times New Roman"/>
          <w:i/>
          <w:sz w:val="24"/>
          <w:szCs w:val="24"/>
        </w:rPr>
      </w:pPr>
      <w:r>
        <w:rPr>
          <w:rFonts w:ascii="Times New Roman" w:hAnsi="Times New Roman"/>
          <w:b/>
          <w:i/>
          <w:sz w:val="24"/>
          <w:szCs w:val="24"/>
        </w:rPr>
        <w:t>s</w:t>
      </w:r>
      <w:r w:rsidRPr="005647FF">
        <w:rPr>
          <w:rFonts w:ascii="Times New Roman" w:hAnsi="Times New Roman"/>
          <w:b/>
          <w:i/>
          <w:sz w:val="24"/>
          <w:szCs w:val="24"/>
        </w:rPr>
        <w:t>up_val_fut</w:t>
      </w:r>
      <w:r>
        <w:rPr>
          <w:rFonts w:ascii="Times New Roman" w:hAnsi="Times New Roman"/>
          <w:sz w:val="24"/>
          <w:szCs w:val="24"/>
        </w:rPr>
        <w:t>: The same as above, but for future scenario land cover map, if provided.</w:t>
      </w:r>
    </w:p>
    <w:p w:rsidR="0004680D" w:rsidRPr="00873921" w:rsidRDefault="0004680D" w:rsidP="0004680D">
      <w:pPr>
        <w:pStyle w:val="ColorfulShading-Accent31"/>
        <w:ind w:left="360"/>
        <w:jc w:val="both"/>
        <w:rPr>
          <w:rFonts w:ascii="Times New Roman" w:hAnsi="Times New Roman"/>
          <w:sz w:val="24"/>
          <w:szCs w:val="24"/>
        </w:rPr>
      </w:pPr>
    </w:p>
    <w:p w:rsidR="0004680D" w:rsidRPr="008A2829" w:rsidRDefault="0004680D" w:rsidP="0004680D">
      <w:pPr>
        <w:pStyle w:val="Heading2"/>
        <w:numPr>
          <w:ilvl w:val="1"/>
          <w:numId w:val="3"/>
        </w:numPr>
        <w:tabs>
          <w:tab w:val="left" w:pos="0"/>
        </w:tabs>
        <w:suppressAutoHyphens/>
        <w:jc w:val="both"/>
        <w:rPr>
          <w:rFonts w:ascii="Times New Roman" w:hAnsi="Times New Roman" w:cs="Times New Roman"/>
          <w:sz w:val="24"/>
          <w:szCs w:val="24"/>
        </w:rPr>
      </w:pPr>
      <w:bookmarkStart w:id="17" w:name="_Toc158980635"/>
      <w:r w:rsidRPr="008A2829">
        <w:rPr>
          <w:rStyle w:val="CharChar"/>
          <w:rFonts w:ascii="Times New Roman" w:hAnsi="Times New Roman" w:cs="Times New Roman"/>
          <w:b/>
          <w:i w:val="0"/>
          <w:iCs w:val="0"/>
          <w:sz w:val="24"/>
          <w:szCs w:val="24"/>
        </w:rPr>
        <w:t>Intermediate results</w:t>
      </w:r>
      <w:r w:rsidRPr="008A2829">
        <w:rPr>
          <w:rStyle w:val="CharChar"/>
          <w:rFonts w:ascii="Times New Roman" w:hAnsi="Times New Roman" w:cs="Times New Roman"/>
          <w:i w:val="0"/>
          <w:iCs w:val="0"/>
          <w:sz w:val="24"/>
          <w:szCs w:val="24"/>
        </w:rPr>
        <w:t xml:space="preserve"> </w:t>
      </w:r>
      <w:r w:rsidRPr="008A2829">
        <w:rPr>
          <w:rFonts w:ascii="Times New Roman" w:hAnsi="Times New Roman" w:cs="Times New Roman"/>
          <w:b w:val="0"/>
          <w:sz w:val="24"/>
          <w:szCs w:val="24"/>
        </w:rPr>
        <w:t>(found in the folder name “intermediate”)</w:t>
      </w:r>
      <w:bookmarkEnd w:id="17"/>
    </w:p>
    <w:p w:rsidR="0004680D" w:rsidRPr="008A2829" w:rsidRDefault="0004680D" w:rsidP="0004680D"/>
    <w:p w:rsidR="0004680D" w:rsidRPr="008A2829" w:rsidRDefault="0004680D" w:rsidP="0004680D">
      <w:pPr>
        <w:pStyle w:val="ColorfulShading-Accent31"/>
        <w:ind w:left="0"/>
        <w:jc w:val="both"/>
        <w:rPr>
          <w:rFonts w:ascii="Times New Roman" w:hAnsi="Times New Roman"/>
          <w:sz w:val="24"/>
          <w:szCs w:val="24"/>
        </w:rPr>
      </w:pPr>
      <w:r w:rsidRPr="008A2829">
        <w:rPr>
          <w:rFonts w:ascii="Times New Roman" w:hAnsi="Times New Roman"/>
          <w:sz w:val="24"/>
          <w:szCs w:val="24"/>
        </w:rPr>
        <w:t xml:space="preserve">You may also want to examine the intermediate results. These files can help determine the </w:t>
      </w:r>
      <w:r w:rsidRPr="008A2829">
        <w:rPr>
          <w:rFonts w:ascii="Times New Roman" w:hAnsi="Times New Roman"/>
          <w:sz w:val="24"/>
          <w:szCs w:val="24"/>
          <w:u w:val="single"/>
        </w:rPr>
        <w:t>reasons for the patterns</w:t>
      </w:r>
      <w:r w:rsidRPr="008A2829">
        <w:rPr>
          <w:rFonts w:ascii="Times New Roman" w:hAnsi="Times New Roman"/>
          <w:sz w:val="24"/>
          <w:szCs w:val="24"/>
        </w:rPr>
        <w:t xml:space="preserve"> in the final results.</w:t>
      </w:r>
    </w:p>
    <w:p w:rsidR="0004680D" w:rsidRPr="00873921" w:rsidRDefault="0004680D" w:rsidP="0004680D"/>
    <w:p w:rsidR="0004680D" w:rsidRPr="00BA2C4F"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873921">
        <w:rPr>
          <w:rFonts w:ascii="Times New Roman" w:hAnsi="Times New Roman"/>
          <w:b/>
          <w:i/>
          <w:sz w:val="24"/>
          <w:szCs w:val="24"/>
        </w:rPr>
        <w:t>hn_&lt;beename&gt;_cur:</w:t>
      </w:r>
      <w:r w:rsidRPr="00873921">
        <w:rPr>
          <w:rFonts w:ascii="Times New Roman" w:hAnsi="Times New Roman"/>
          <w:sz w:val="24"/>
          <w:szCs w:val="24"/>
        </w:rPr>
        <w:t xml:space="preserve"> This is a map of the availability of nesting sites for each </w:t>
      </w:r>
      <w:r>
        <w:rPr>
          <w:rFonts w:ascii="Times New Roman" w:hAnsi="Times New Roman"/>
          <w:sz w:val="24"/>
          <w:szCs w:val="24"/>
        </w:rPr>
        <w:t>pollinator</w:t>
      </w:r>
      <w:r w:rsidRPr="00873921">
        <w:rPr>
          <w:rFonts w:ascii="Times New Roman" w:hAnsi="Times New Roman"/>
          <w:sz w:val="24"/>
          <w:szCs w:val="24"/>
        </w:rPr>
        <w:t>. The map depends on the values you provide for</w:t>
      </w:r>
      <w:r w:rsidRPr="0094151D">
        <w:rPr>
          <w:rFonts w:ascii="Times New Roman" w:hAnsi="Times New Roman"/>
          <w:sz w:val="24"/>
          <w:szCs w:val="24"/>
        </w:rPr>
        <w:t xml:space="preserve"> the availability of each nesting type in each LULC class, and for the nest</w:t>
      </w:r>
      <w:r>
        <w:rPr>
          <w:rFonts w:ascii="Times New Roman" w:hAnsi="Times New Roman"/>
          <w:sz w:val="24"/>
          <w:szCs w:val="24"/>
        </w:rPr>
        <w:t>ing habits of each bee species.</w:t>
      </w:r>
      <w:r w:rsidRPr="0094151D">
        <w:rPr>
          <w:rFonts w:ascii="Times New Roman" w:hAnsi="Times New Roman"/>
          <w:sz w:val="24"/>
          <w:szCs w:val="24"/>
        </w:rPr>
        <w:t xml:space="preserve"> In fact, values in this map are simply the product of those two provided numbers (e.g., in the example tables given above, species A is entirely a cavity nester, and coffee has a 0.2 value for cavity nest availability, so the value for species A in a coffe</w:t>
      </w:r>
      <w:r>
        <w:rPr>
          <w:rFonts w:ascii="Times New Roman" w:hAnsi="Times New Roman"/>
          <w:sz w:val="24"/>
          <w:szCs w:val="24"/>
        </w:rPr>
        <w:t xml:space="preserve">e cell will be 1 x 0.2 = 0.2). </w:t>
      </w:r>
      <w:r w:rsidRPr="0094151D">
        <w:rPr>
          <w:rFonts w:ascii="Times New Roman" w:hAnsi="Times New Roman"/>
          <w:sz w:val="24"/>
          <w:szCs w:val="24"/>
        </w:rPr>
        <w:t xml:space="preserve">(Note: the </w:t>
      </w:r>
      <w:r w:rsidRPr="0094151D">
        <w:rPr>
          <w:rFonts w:ascii="Times New Roman" w:hAnsi="Times New Roman"/>
          <w:i/>
          <w:sz w:val="24"/>
          <w:szCs w:val="24"/>
        </w:rPr>
        <w:t>“&lt;beename&gt;</w:t>
      </w:r>
      <w:r w:rsidRPr="0094151D">
        <w:rPr>
          <w:rFonts w:ascii="Times New Roman" w:hAnsi="Times New Roman"/>
          <w:sz w:val="24"/>
          <w:szCs w:val="24"/>
        </w:rPr>
        <w:t xml:space="preserve">” portion </w:t>
      </w:r>
      <w:r w:rsidRPr="0094151D">
        <w:rPr>
          <w:rFonts w:ascii="Times New Roman" w:hAnsi="Times New Roman"/>
          <w:i/>
          <w:sz w:val="24"/>
          <w:szCs w:val="24"/>
        </w:rPr>
        <w:t>of each fil</w:t>
      </w:r>
      <w:r w:rsidRPr="0094151D">
        <w:rPr>
          <w:rFonts w:ascii="Times New Roman" w:hAnsi="Times New Roman"/>
          <w:sz w:val="24"/>
          <w:szCs w:val="24"/>
        </w:rPr>
        <w:t xml:space="preserve">e name will be the first 4 characters of the ‘Species’ column in dataset #2, </w:t>
      </w:r>
      <w:r w:rsidRPr="0094151D">
        <w:rPr>
          <w:rFonts w:ascii="Times New Roman" w:hAnsi="Times New Roman"/>
          <w:i/>
          <w:sz w:val="24"/>
          <w:szCs w:val="24"/>
        </w:rPr>
        <w:t>s</w:t>
      </w:r>
      <w:r>
        <w:rPr>
          <w:rFonts w:ascii="Times New Roman" w:hAnsi="Times New Roman"/>
          <w:sz w:val="24"/>
          <w:szCs w:val="24"/>
        </w:rPr>
        <w:t>o make sure these 4 characters identify each species or guild uniquely).</w:t>
      </w:r>
    </w:p>
    <w:p w:rsidR="0004680D" w:rsidRPr="00C8728B"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hn_&lt;beename&gt;_fut:</w:t>
      </w:r>
      <w:r>
        <w:rPr>
          <w:rFonts w:ascii="Times New Roman" w:hAnsi="Times New Roman"/>
          <w:i/>
          <w:sz w:val="24"/>
          <w:szCs w:val="24"/>
        </w:rPr>
        <w:t xml:space="preserve"> </w:t>
      </w:r>
      <w:r>
        <w:rPr>
          <w:rFonts w:ascii="Times New Roman" w:hAnsi="Times New Roman"/>
          <w:sz w:val="24"/>
          <w:szCs w:val="24"/>
        </w:rPr>
        <w:t>The same as above, but for the future scenario land cover map, if provided.</w:t>
      </w:r>
    </w:p>
    <w:p w:rsidR="0004680D" w:rsidRPr="00BA2C4F"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hf_&lt;beename&gt;_cur:</w:t>
      </w:r>
      <w:r w:rsidRPr="00BA2C4F">
        <w:rPr>
          <w:rFonts w:ascii="Times New Roman" w:hAnsi="Times New Roman"/>
          <w:i/>
          <w:sz w:val="24"/>
          <w:szCs w:val="24"/>
        </w:rPr>
        <w:t xml:space="preserve"> </w:t>
      </w:r>
      <w:r>
        <w:rPr>
          <w:rFonts w:ascii="Times New Roman" w:hAnsi="Times New Roman"/>
          <w:iCs/>
          <w:sz w:val="24"/>
          <w:szCs w:val="24"/>
        </w:rPr>
        <w:t xml:space="preserve">This is a </w:t>
      </w:r>
      <w:r w:rsidRPr="00BA2C4F">
        <w:rPr>
          <w:rFonts w:ascii="Times New Roman" w:hAnsi="Times New Roman"/>
          <w:sz w:val="24"/>
          <w:szCs w:val="24"/>
        </w:rPr>
        <w:t xml:space="preserve">map of availability of flower resources for each species in the </w:t>
      </w:r>
      <w:r>
        <w:rPr>
          <w:rFonts w:ascii="Times New Roman" w:hAnsi="Times New Roman"/>
          <w:sz w:val="24"/>
          <w:szCs w:val="24"/>
        </w:rPr>
        <w:t xml:space="preserve">neighborhood around each cell. </w:t>
      </w:r>
      <w:r w:rsidRPr="00BA2C4F">
        <w:rPr>
          <w:rFonts w:ascii="Times New Roman" w:hAnsi="Times New Roman"/>
          <w:sz w:val="24"/>
          <w:szCs w:val="24"/>
        </w:rPr>
        <w:t>The value for each cell is a sum of surrounding flower values,</w:t>
      </w:r>
      <w:r>
        <w:rPr>
          <w:rFonts w:ascii="Times New Roman" w:hAnsi="Times New Roman"/>
          <w:sz w:val="24"/>
          <w:szCs w:val="24"/>
        </w:rPr>
        <w:t xml:space="preserve"> </w:t>
      </w:r>
      <w:r w:rsidRPr="00BA2C4F">
        <w:rPr>
          <w:rFonts w:ascii="Times New Roman" w:hAnsi="Times New Roman"/>
          <w:sz w:val="24"/>
          <w:szCs w:val="24"/>
        </w:rPr>
        <w:t>with values from nearer cells given more weight than those from cells further away.</w:t>
      </w:r>
      <w:r>
        <w:rPr>
          <w:rFonts w:ascii="Times New Roman" w:hAnsi="Times New Roman"/>
          <w:sz w:val="24"/>
          <w:szCs w:val="24"/>
        </w:rPr>
        <w:t xml:space="preserve"> </w:t>
      </w:r>
      <w:r w:rsidRPr="00BA2C4F">
        <w:rPr>
          <w:rFonts w:ascii="Times New Roman" w:hAnsi="Times New Roman"/>
          <w:sz w:val="24"/>
          <w:szCs w:val="24"/>
        </w:rPr>
        <w:t xml:space="preserve">The sum is taken over a neighborhood with </w:t>
      </w:r>
      <w:r>
        <w:rPr>
          <w:rFonts w:ascii="Times New Roman" w:hAnsi="Times New Roman"/>
          <w:sz w:val="24"/>
          <w:szCs w:val="24"/>
        </w:rPr>
        <w:t xml:space="preserve">the </w:t>
      </w:r>
      <w:r w:rsidRPr="00BA2C4F">
        <w:rPr>
          <w:rFonts w:ascii="Times New Roman" w:hAnsi="Times New Roman"/>
          <w:sz w:val="24"/>
          <w:szCs w:val="24"/>
        </w:rPr>
        <w:t>radius equal to the typical flight range of the bee (i.e., ‘</w:t>
      </w:r>
      <w:r>
        <w:rPr>
          <w:rFonts w:ascii="Times New Roman" w:hAnsi="Times New Roman"/>
          <w:sz w:val="24"/>
          <w:szCs w:val="24"/>
        </w:rPr>
        <w:t>Alpha</w:t>
      </w:r>
      <w:r w:rsidRPr="00BA2C4F">
        <w:rPr>
          <w:rFonts w:ascii="Times New Roman" w:hAnsi="Times New Roman"/>
          <w:sz w:val="24"/>
          <w:szCs w:val="24"/>
        </w:rPr>
        <w:t xml:space="preserve">’ in dataset #2).  </w:t>
      </w:r>
    </w:p>
    <w:p w:rsidR="0004680D" w:rsidRPr="00C8728B"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hf_&lt;beename&gt;_fut:</w:t>
      </w:r>
      <w:r w:rsidRPr="00BA2C4F">
        <w:rPr>
          <w:rFonts w:ascii="Times New Roman" w:hAnsi="Times New Roman"/>
          <w:i/>
          <w:sz w:val="24"/>
          <w:szCs w:val="24"/>
        </w:rPr>
        <w:t xml:space="preserve"> </w:t>
      </w:r>
      <w:r>
        <w:rPr>
          <w:rFonts w:ascii="Times New Roman" w:hAnsi="Times New Roman"/>
          <w:sz w:val="24"/>
          <w:szCs w:val="24"/>
        </w:rPr>
        <w:t>T</w:t>
      </w:r>
      <w:r w:rsidRPr="00BA2C4F">
        <w:rPr>
          <w:rFonts w:ascii="Times New Roman" w:hAnsi="Times New Roman"/>
          <w:sz w:val="24"/>
          <w:szCs w:val="24"/>
        </w:rPr>
        <w:t>he same as above, but for the future scenario land cover map, if provided</w:t>
      </w:r>
      <w:r w:rsidRPr="00BA2C4F">
        <w:rPr>
          <w:rFonts w:ascii="Times New Roman" w:hAnsi="Times New Roman"/>
          <w:i/>
          <w:sz w:val="24"/>
          <w:szCs w:val="24"/>
        </w:rPr>
        <w:t>.</w:t>
      </w:r>
    </w:p>
    <w:p w:rsidR="0004680D" w:rsidRPr="00BA2C4F"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sup_&lt;beename&gt;_cur</w:t>
      </w:r>
      <w:r w:rsidRPr="000364BD">
        <w:rPr>
          <w:rFonts w:ascii="Times New Roman" w:hAnsi="Times New Roman"/>
          <w:b/>
          <w:sz w:val="24"/>
          <w:szCs w:val="24"/>
        </w:rPr>
        <w:t>:</w:t>
      </w:r>
      <w:r w:rsidRPr="00BA2C4F">
        <w:rPr>
          <w:rFonts w:ascii="Times New Roman" w:hAnsi="Times New Roman"/>
          <w:sz w:val="24"/>
          <w:szCs w:val="24"/>
        </w:rPr>
        <w:t xml:space="preserve"> </w:t>
      </w:r>
      <w:r>
        <w:rPr>
          <w:rFonts w:ascii="Times New Roman" w:hAnsi="Times New Roman"/>
          <w:sz w:val="24"/>
          <w:szCs w:val="24"/>
        </w:rPr>
        <w:t xml:space="preserve">This is </w:t>
      </w:r>
      <w:r w:rsidRPr="00BA2C4F">
        <w:rPr>
          <w:rFonts w:ascii="Times New Roman" w:hAnsi="Times New Roman"/>
          <w:sz w:val="24"/>
          <w:szCs w:val="24"/>
        </w:rPr>
        <w:t xml:space="preserve">a map of </w:t>
      </w:r>
      <w:r>
        <w:rPr>
          <w:rFonts w:ascii="Times New Roman" w:hAnsi="Times New Roman"/>
          <w:sz w:val="24"/>
          <w:szCs w:val="24"/>
        </w:rPr>
        <w:t xml:space="preserve">the pollinator </w:t>
      </w:r>
      <w:r w:rsidRPr="00BA2C4F">
        <w:rPr>
          <w:rFonts w:ascii="Times New Roman" w:hAnsi="Times New Roman"/>
          <w:sz w:val="24"/>
          <w:szCs w:val="24"/>
        </w:rPr>
        <w:t>abundance</w:t>
      </w:r>
      <w:r>
        <w:rPr>
          <w:rFonts w:ascii="Times New Roman" w:hAnsi="Times New Roman"/>
          <w:sz w:val="24"/>
          <w:szCs w:val="24"/>
        </w:rPr>
        <w:t xml:space="preserve"> index</w:t>
      </w:r>
      <w:r w:rsidRPr="00BA2C4F">
        <w:rPr>
          <w:rFonts w:ascii="Times New Roman" w:hAnsi="Times New Roman"/>
          <w:sz w:val="24"/>
          <w:szCs w:val="24"/>
        </w:rPr>
        <w:t xml:space="preserve"> for each</w:t>
      </w:r>
      <w:r>
        <w:rPr>
          <w:rFonts w:ascii="Times New Roman" w:hAnsi="Times New Roman"/>
          <w:sz w:val="24"/>
          <w:szCs w:val="24"/>
        </w:rPr>
        <w:t xml:space="preserve"> bee species or guild modeled. </w:t>
      </w:r>
      <w:r w:rsidRPr="00BA2C4F">
        <w:rPr>
          <w:rFonts w:ascii="Times New Roman" w:hAnsi="Times New Roman"/>
          <w:sz w:val="24"/>
          <w:szCs w:val="24"/>
        </w:rPr>
        <w:t>There will be a different map for each species or g</w:t>
      </w:r>
      <w:r>
        <w:rPr>
          <w:rFonts w:ascii="Times New Roman" w:hAnsi="Times New Roman"/>
          <w:sz w:val="24"/>
          <w:szCs w:val="24"/>
        </w:rPr>
        <w:t xml:space="preserve">uild included in your analysis. </w:t>
      </w:r>
      <w:r w:rsidRPr="00BA2C4F">
        <w:rPr>
          <w:rFonts w:ascii="Times New Roman" w:hAnsi="Times New Roman"/>
          <w:sz w:val="24"/>
          <w:szCs w:val="24"/>
        </w:rPr>
        <w:t xml:space="preserve">This map represents the </w:t>
      </w:r>
      <w:r>
        <w:rPr>
          <w:rFonts w:ascii="Times New Roman" w:hAnsi="Times New Roman"/>
          <w:sz w:val="24"/>
          <w:szCs w:val="24"/>
        </w:rPr>
        <w:t>relative likely</w:t>
      </w:r>
      <w:r w:rsidRPr="00BA2C4F">
        <w:rPr>
          <w:rFonts w:ascii="Times New Roman" w:hAnsi="Times New Roman"/>
          <w:sz w:val="24"/>
          <w:szCs w:val="24"/>
        </w:rPr>
        <w:t xml:space="preserve"> abundance of </w:t>
      </w:r>
      <w:r>
        <w:rPr>
          <w:rFonts w:ascii="Times New Roman" w:hAnsi="Times New Roman"/>
          <w:sz w:val="24"/>
          <w:szCs w:val="24"/>
        </w:rPr>
        <w:t xml:space="preserve">a </w:t>
      </w:r>
      <w:r w:rsidRPr="00BA2C4F">
        <w:rPr>
          <w:rFonts w:ascii="Times New Roman" w:hAnsi="Times New Roman"/>
          <w:sz w:val="24"/>
          <w:szCs w:val="24"/>
        </w:rPr>
        <w:t xml:space="preserve">pollinator species </w:t>
      </w:r>
      <w:r w:rsidRPr="00BA2C4F">
        <w:rPr>
          <w:rFonts w:ascii="Times New Roman" w:hAnsi="Times New Roman"/>
          <w:sz w:val="24"/>
          <w:szCs w:val="24"/>
          <w:u w:val="single"/>
        </w:rPr>
        <w:t>nesting</w:t>
      </w:r>
      <w:r w:rsidRPr="00BA2C4F">
        <w:rPr>
          <w:rFonts w:ascii="Times New Roman" w:hAnsi="Times New Roman"/>
          <w:sz w:val="24"/>
          <w:szCs w:val="24"/>
        </w:rPr>
        <w:t xml:space="preserve"> on each cell in the landscape, given the availability of nesting sites there and of flower (food) resources nearby.</w:t>
      </w:r>
    </w:p>
    <w:p w:rsidR="0004680D" w:rsidRPr="00BA2C4F"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sup_&lt;beename&gt;_fut</w:t>
      </w:r>
      <w:r w:rsidRPr="000364BD">
        <w:rPr>
          <w:rFonts w:ascii="Times New Roman" w:hAnsi="Times New Roman"/>
          <w:b/>
          <w:sz w:val="24"/>
          <w:szCs w:val="24"/>
        </w:rPr>
        <w:t>:</w:t>
      </w:r>
      <w:r w:rsidRPr="00BA2C4F">
        <w:rPr>
          <w:rFonts w:ascii="Times New Roman" w:hAnsi="Times New Roman"/>
          <w:sz w:val="24"/>
          <w:szCs w:val="24"/>
        </w:rPr>
        <w:t xml:space="preserve"> </w:t>
      </w:r>
      <w:r>
        <w:rPr>
          <w:rFonts w:ascii="Times New Roman" w:hAnsi="Times New Roman"/>
          <w:sz w:val="24"/>
          <w:szCs w:val="24"/>
        </w:rPr>
        <w:t>T</w:t>
      </w:r>
      <w:r w:rsidRPr="00BA2C4F">
        <w:rPr>
          <w:rFonts w:ascii="Times New Roman" w:hAnsi="Times New Roman"/>
          <w:sz w:val="24"/>
          <w:szCs w:val="24"/>
        </w:rPr>
        <w:t>he same as above, but for the future scenario land cover map, if provided.</w:t>
      </w:r>
    </w:p>
    <w:p w:rsidR="0004680D" w:rsidRPr="00BA2C4F"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frm_&lt;beename&gt;_cur</w:t>
      </w:r>
      <w:r w:rsidRPr="000364BD">
        <w:rPr>
          <w:rFonts w:ascii="Times New Roman" w:hAnsi="Times New Roman"/>
          <w:b/>
          <w:sz w:val="24"/>
          <w:szCs w:val="24"/>
        </w:rPr>
        <w:t>:</w:t>
      </w:r>
      <w:r w:rsidRPr="00BA2C4F">
        <w:rPr>
          <w:rFonts w:ascii="Times New Roman" w:hAnsi="Times New Roman"/>
          <w:sz w:val="24"/>
          <w:szCs w:val="24"/>
        </w:rPr>
        <w:t xml:space="preserve"> </w:t>
      </w:r>
      <w:r>
        <w:rPr>
          <w:rFonts w:ascii="Times New Roman" w:hAnsi="Times New Roman"/>
          <w:sz w:val="24"/>
          <w:szCs w:val="24"/>
        </w:rPr>
        <w:t xml:space="preserve">This is </w:t>
      </w:r>
      <w:r w:rsidRPr="00BA2C4F">
        <w:rPr>
          <w:rFonts w:ascii="Times New Roman" w:hAnsi="Times New Roman"/>
          <w:sz w:val="24"/>
          <w:szCs w:val="24"/>
        </w:rPr>
        <w:t xml:space="preserve">a map of the abundance </w:t>
      </w:r>
      <w:r>
        <w:rPr>
          <w:rFonts w:ascii="Times New Roman" w:hAnsi="Times New Roman"/>
          <w:sz w:val="24"/>
          <w:szCs w:val="24"/>
        </w:rPr>
        <w:t>index for</w:t>
      </w:r>
      <w:r w:rsidRPr="00BA2C4F">
        <w:rPr>
          <w:rFonts w:ascii="Times New Roman" w:hAnsi="Times New Roman"/>
          <w:sz w:val="24"/>
          <w:szCs w:val="24"/>
        </w:rPr>
        <w:t xml:space="preserve"> each bee species or guild </w:t>
      </w:r>
      <w:r w:rsidRPr="00B31AA4">
        <w:rPr>
          <w:rFonts w:ascii="Times New Roman" w:hAnsi="Times New Roman"/>
          <w:sz w:val="24"/>
          <w:szCs w:val="24"/>
          <w:u w:val="single"/>
        </w:rPr>
        <w:t xml:space="preserve">on each </w:t>
      </w:r>
      <w:r>
        <w:rPr>
          <w:rFonts w:ascii="Times New Roman" w:hAnsi="Times New Roman"/>
          <w:sz w:val="24"/>
          <w:szCs w:val="24"/>
          <w:u w:val="single"/>
        </w:rPr>
        <w:t xml:space="preserve">agricultural </w:t>
      </w:r>
      <w:r w:rsidRPr="00B31AA4">
        <w:rPr>
          <w:rFonts w:ascii="Times New Roman" w:hAnsi="Times New Roman"/>
          <w:sz w:val="24"/>
          <w:szCs w:val="24"/>
          <w:u w:val="single"/>
        </w:rPr>
        <w:t>cell</w:t>
      </w:r>
      <w:r w:rsidRPr="00B31AA4">
        <w:rPr>
          <w:rFonts w:ascii="Times New Roman" w:hAnsi="Times New Roman"/>
          <w:sz w:val="24"/>
          <w:szCs w:val="24"/>
        </w:rPr>
        <w:t xml:space="preserve"> </w:t>
      </w:r>
      <w:r>
        <w:rPr>
          <w:rFonts w:ascii="Times New Roman" w:hAnsi="Times New Roman"/>
          <w:sz w:val="24"/>
          <w:szCs w:val="24"/>
        </w:rPr>
        <w:t xml:space="preserve">in the landscape. </w:t>
      </w:r>
      <w:r w:rsidRPr="00BA2C4F">
        <w:rPr>
          <w:rFonts w:ascii="Times New Roman" w:hAnsi="Times New Roman"/>
          <w:sz w:val="24"/>
          <w:szCs w:val="24"/>
        </w:rPr>
        <w:t xml:space="preserve">There will be a different map for each species </w:t>
      </w:r>
      <w:r w:rsidRPr="00BA2C4F">
        <w:rPr>
          <w:rFonts w:ascii="Times New Roman" w:hAnsi="Times New Roman"/>
          <w:sz w:val="24"/>
          <w:szCs w:val="24"/>
        </w:rPr>
        <w:lastRenderedPageBreak/>
        <w:t>or g</w:t>
      </w:r>
      <w:r>
        <w:rPr>
          <w:rFonts w:ascii="Times New Roman" w:hAnsi="Times New Roman"/>
          <w:sz w:val="24"/>
          <w:szCs w:val="24"/>
        </w:rPr>
        <w:t>uild included in your analysis.</w:t>
      </w:r>
      <w:r w:rsidRPr="00BA2C4F">
        <w:rPr>
          <w:rFonts w:ascii="Times New Roman" w:hAnsi="Times New Roman"/>
          <w:sz w:val="24"/>
          <w:szCs w:val="24"/>
        </w:rPr>
        <w:t xml:space="preserve"> If you</w:t>
      </w:r>
      <w:r>
        <w:rPr>
          <w:rFonts w:ascii="Times New Roman" w:hAnsi="Times New Roman"/>
          <w:sz w:val="24"/>
          <w:szCs w:val="24"/>
        </w:rPr>
        <w:t xml:space="preserve"> did not specify agricultural classes,</w:t>
      </w:r>
      <w:r w:rsidRPr="00BA2C4F">
        <w:rPr>
          <w:rFonts w:ascii="Times New Roman" w:hAnsi="Times New Roman"/>
          <w:sz w:val="24"/>
          <w:szCs w:val="24"/>
        </w:rPr>
        <w:t xml:space="preserve"> then every </w:t>
      </w:r>
      <w:r>
        <w:rPr>
          <w:rFonts w:ascii="Times New Roman" w:hAnsi="Times New Roman"/>
          <w:sz w:val="24"/>
          <w:szCs w:val="24"/>
        </w:rPr>
        <w:t xml:space="preserve">cell (and land cover classes) in the </w:t>
      </w:r>
      <w:r w:rsidRPr="00BA2C4F">
        <w:rPr>
          <w:rFonts w:ascii="Times New Roman" w:hAnsi="Times New Roman"/>
          <w:sz w:val="24"/>
          <w:szCs w:val="24"/>
        </w:rPr>
        <w:t xml:space="preserve">LULC </w:t>
      </w:r>
      <w:r>
        <w:rPr>
          <w:rFonts w:ascii="Times New Roman" w:hAnsi="Times New Roman"/>
          <w:sz w:val="24"/>
          <w:szCs w:val="24"/>
        </w:rPr>
        <w:t>map</w:t>
      </w:r>
      <w:r w:rsidRPr="00BA2C4F">
        <w:rPr>
          <w:rFonts w:ascii="Times New Roman" w:hAnsi="Times New Roman"/>
          <w:sz w:val="24"/>
          <w:szCs w:val="24"/>
        </w:rPr>
        <w:t xml:space="preserve"> will contain values. </w:t>
      </w:r>
    </w:p>
    <w:p w:rsidR="0004680D" w:rsidRPr="00597E1D" w:rsidRDefault="0004680D" w:rsidP="0004680D">
      <w:pPr>
        <w:pStyle w:val="ColorfulShading-Accent31"/>
        <w:numPr>
          <w:ilvl w:val="0"/>
          <w:numId w:val="5"/>
        </w:numPr>
        <w:suppressAutoHyphens/>
        <w:contextualSpacing w:val="0"/>
        <w:jc w:val="both"/>
        <w:rPr>
          <w:rFonts w:ascii="Times New Roman" w:hAnsi="Times New Roman"/>
          <w:i/>
          <w:sz w:val="24"/>
          <w:szCs w:val="24"/>
        </w:rPr>
      </w:pPr>
      <w:r w:rsidRPr="000364BD">
        <w:rPr>
          <w:rFonts w:ascii="Times New Roman" w:hAnsi="Times New Roman"/>
          <w:b/>
          <w:i/>
          <w:sz w:val="24"/>
          <w:szCs w:val="24"/>
        </w:rPr>
        <w:t>frm_&lt;beename&gt;_fut</w:t>
      </w:r>
      <w:r w:rsidRPr="000364BD">
        <w:rPr>
          <w:rFonts w:ascii="Times New Roman" w:hAnsi="Times New Roman"/>
          <w:b/>
          <w:sz w:val="24"/>
          <w:szCs w:val="24"/>
        </w:rPr>
        <w:t>:</w:t>
      </w:r>
      <w:r w:rsidRPr="00BA2C4F">
        <w:rPr>
          <w:rFonts w:ascii="Times New Roman" w:hAnsi="Times New Roman"/>
          <w:sz w:val="24"/>
          <w:szCs w:val="24"/>
        </w:rPr>
        <w:t xml:space="preserve"> </w:t>
      </w:r>
      <w:r>
        <w:rPr>
          <w:rFonts w:ascii="Times New Roman" w:hAnsi="Times New Roman"/>
          <w:sz w:val="24"/>
          <w:szCs w:val="24"/>
        </w:rPr>
        <w:t>T</w:t>
      </w:r>
      <w:r w:rsidRPr="00BA2C4F">
        <w:rPr>
          <w:rFonts w:ascii="Times New Roman" w:hAnsi="Times New Roman"/>
          <w:sz w:val="24"/>
          <w:szCs w:val="24"/>
        </w:rPr>
        <w:t>he same as above, but for the future scenario land cover map, if provided.</w:t>
      </w:r>
    </w:p>
    <w:p w:rsidR="0004680D" w:rsidRDefault="0004680D" w:rsidP="0004680D">
      <w:pPr>
        <w:pStyle w:val="ColorfulShading-Accent31"/>
        <w:numPr>
          <w:ilvl w:val="0"/>
          <w:numId w:val="5"/>
        </w:numPr>
        <w:suppressAutoHyphens/>
        <w:contextualSpacing w:val="0"/>
        <w:jc w:val="both"/>
        <w:rPr>
          <w:rFonts w:ascii="Times New Roman" w:hAnsi="Times New Roman"/>
          <w:sz w:val="24"/>
          <w:szCs w:val="24"/>
        </w:rPr>
      </w:pPr>
      <w:bookmarkStart w:id="18" w:name="OLE_LINK1"/>
      <w:bookmarkStart w:id="19" w:name="OLE_LINK2"/>
      <w:r>
        <w:rPr>
          <w:rFonts w:ascii="Times New Roman" w:hAnsi="Times New Roman"/>
          <w:b/>
          <w:i/>
          <w:sz w:val="24"/>
          <w:szCs w:val="24"/>
        </w:rPr>
        <w:t>f</w:t>
      </w:r>
      <w:r w:rsidRPr="00554318">
        <w:rPr>
          <w:rFonts w:ascii="Times New Roman" w:hAnsi="Times New Roman"/>
          <w:b/>
          <w:i/>
          <w:sz w:val="24"/>
          <w:szCs w:val="24"/>
        </w:rPr>
        <w:t>rm_val_cur</w:t>
      </w:r>
      <w:bookmarkEnd w:id="18"/>
      <w:bookmarkEnd w:id="19"/>
      <w:r>
        <w:rPr>
          <w:rFonts w:ascii="Times New Roman" w:hAnsi="Times New Roman"/>
          <w:sz w:val="24"/>
          <w:szCs w:val="24"/>
        </w:rPr>
        <w:t xml:space="preserve">: This is a map of “farm value”: the relative value of crop production on each agricultural cell due to wild pollinators. It is based on a transformation of </w:t>
      </w:r>
      <w:r>
        <w:rPr>
          <w:rFonts w:ascii="Times New Roman" w:hAnsi="Times New Roman"/>
          <w:i/>
          <w:sz w:val="24"/>
          <w:szCs w:val="24"/>
        </w:rPr>
        <w:t>f</w:t>
      </w:r>
      <w:r w:rsidRPr="004536E5">
        <w:rPr>
          <w:rFonts w:ascii="Times New Roman" w:hAnsi="Times New Roman"/>
          <w:i/>
          <w:sz w:val="24"/>
          <w:szCs w:val="24"/>
        </w:rPr>
        <w:t>rm_ave_cur</w:t>
      </w:r>
      <w:r>
        <w:rPr>
          <w:rFonts w:ascii="Times New Roman" w:hAnsi="Times New Roman"/>
          <w:sz w:val="24"/>
          <w:szCs w:val="24"/>
        </w:rPr>
        <w:t>, using a simple saturating yield function to translate abundance units into value units. It represents, in terms of crop production, the contribution of wild pollinators. Units are not dollars per se, but the index is a relative measure of economic value.</w:t>
      </w:r>
    </w:p>
    <w:p w:rsidR="0004680D" w:rsidRPr="00255EBE" w:rsidRDefault="0004680D" w:rsidP="0004680D">
      <w:pPr>
        <w:pStyle w:val="ColorfulShading-Accent31"/>
        <w:numPr>
          <w:ilvl w:val="0"/>
          <w:numId w:val="5"/>
        </w:numPr>
        <w:suppressAutoHyphens/>
        <w:contextualSpacing w:val="0"/>
        <w:jc w:val="both"/>
        <w:rPr>
          <w:rFonts w:ascii="Times New Roman" w:hAnsi="Times New Roman"/>
          <w:b/>
          <w:i/>
          <w:sz w:val="24"/>
          <w:szCs w:val="24"/>
        </w:rPr>
      </w:pPr>
      <w:r>
        <w:rPr>
          <w:rFonts w:ascii="Times New Roman" w:hAnsi="Times New Roman"/>
          <w:b/>
          <w:i/>
          <w:sz w:val="24"/>
          <w:szCs w:val="24"/>
        </w:rPr>
        <w:t>f</w:t>
      </w:r>
      <w:r w:rsidRPr="00554318">
        <w:rPr>
          <w:rFonts w:ascii="Times New Roman" w:hAnsi="Times New Roman"/>
          <w:b/>
          <w:i/>
          <w:sz w:val="24"/>
          <w:szCs w:val="24"/>
        </w:rPr>
        <w:t>rm_val_fut</w:t>
      </w:r>
      <w:r>
        <w:rPr>
          <w:rFonts w:ascii="Times New Roman" w:hAnsi="Times New Roman"/>
          <w:b/>
          <w:i/>
          <w:sz w:val="24"/>
          <w:szCs w:val="24"/>
        </w:rPr>
        <w:t>:</w:t>
      </w:r>
      <w:r>
        <w:rPr>
          <w:rFonts w:ascii="Times New Roman" w:hAnsi="Times New Roman"/>
          <w:sz w:val="24"/>
          <w:szCs w:val="24"/>
        </w:rPr>
        <w:t xml:space="preserve"> The same as above, but for future scenario land cover map, if provided.</w:t>
      </w:r>
    </w:p>
    <w:p w:rsidR="0004680D" w:rsidRDefault="0004680D" w:rsidP="0004680D">
      <w:pPr>
        <w:pStyle w:val="Heading2"/>
        <w:jc w:val="both"/>
        <w:rPr>
          <w:rFonts w:ascii="Cambria" w:hAnsi="Cambria"/>
        </w:rPr>
      </w:pPr>
    </w:p>
    <w:p w:rsidR="0004680D" w:rsidRPr="001E0814" w:rsidRDefault="0004680D" w:rsidP="0004680D">
      <w:pPr>
        <w:pStyle w:val="Heading2"/>
        <w:ind w:hanging="187"/>
        <w:jc w:val="both"/>
        <w:rPr>
          <w:rFonts w:ascii="Cambria" w:hAnsi="Cambria"/>
        </w:rPr>
      </w:pPr>
      <w:bookmarkStart w:id="20" w:name="_Toc158980636"/>
      <w:r w:rsidRPr="001E0814">
        <w:rPr>
          <w:rFonts w:ascii="Cambria" w:hAnsi="Cambria"/>
        </w:rPr>
        <w:t>Appendix: Data sources</w:t>
      </w:r>
      <w:bookmarkEnd w:id="20"/>
    </w:p>
    <w:p w:rsidR="0004680D" w:rsidRDefault="0004680D" w:rsidP="0004680D">
      <w:pPr>
        <w:ind w:left="720" w:hanging="720"/>
        <w:jc w:val="both"/>
      </w:pPr>
    </w:p>
    <w:p w:rsidR="0004680D" w:rsidRDefault="0004680D" w:rsidP="0004680D">
      <w:pPr>
        <w:ind w:left="720" w:hanging="720"/>
        <w:jc w:val="both"/>
      </w:pPr>
      <w:r>
        <w:t xml:space="preserve">List of globally important crops and their dependence on animal pollinators: </w:t>
      </w:r>
      <w:r>
        <w:fldChar w:fldCharType="begin"/>
      </w:r>
      <w:r>
        <w:instrText xml:space="preserve"> ADDIN EN.CITE &lt;EndNote&gt;&lt;Cite&gt;&lt;Author&gt;Klein&lt;/Author&gt;&lt;Year&gt;2007&lt;/Year&gt;&lt;RecNum&gt;2169&lt;/RecNum&gt;&lt;record&gt;&lt;rec-number&gt;2169&lt;/rec-number&gt;&lt;ref-type name="Journal Article"&gt;17&lt;/ref-type&gt;&lt;contributors&gt;&lt;authors&gt;&lt;author&gt;Klein, A. M.&lt;/author&gt;&lt;author&gt;Vaissiere, B. E.&lt;/author&gt;&lt;author&gt;Cane, J. H.&lt;/author&gt;&lt;author&gt;Steffan-Dewenter, I.&lt;/author&gt;&lt;author&gt;Cunningham, S. A.&lt;/author&gt;&lt;author&gt;Kremen, C.&lt;/author&gt;&lt;author&gt;Tscharntke, T.&lt;/author&gt;&lt;/authors&gt;&lt;/contributors&gt;&lt;titles&gt;&lt;title&gt;Importance of pollinators in changing landscapes for world crops&lt;/title&gt;&lt;secondary-title&gt;Proceedings of the Royal Society B-Biological Sciences&lt;/secondary-title&gt;&lt;/titles&gt;&lt;pages&gt;303-313&lt;/pages&gt;&lt;volume&gt;274&lt;/volume&gt;&lt;number&gt;1608&lt;/number&gt;&lt;keywords&gt;&lt;keyword&gt;agriculture&lt;/keyword&gt;&lt;keyword&gt;conservation&lt;/keyword&gt;&lt;keyword&gt;pollination&lt;/keyword&gt;&lt;keyword&gt;biodiversity&lt;/keyword&gt;&lt;keyword&gt;spatial ecology&lt;/keyword&gt;&lt;keyword&gt;wild bees&lt;/keyword&gt;&lt;keyword&gt;UNITED-STATES CROPS&lt;/keyword&gt;&lt;keyword&gt;POLLEN LIMITATION&lt;/keyword&gt;&lt;keyword&gt;HONEY-BEES&lt;/keyword&gt;&lt;keyword&gt;WILD BEES&lt;/keyword&gt;&lt;keyword&gt;AGRICULTURAL INTENSIFICATION&lt;/keyword&gt;&lt;keyword&gt;HABITAT FRAGMENTATION&lt;/keyword&gt;&lt;keyword&gt;PLANT&lt;/keyword&gt;&lt;keyword&gt;REPRODUCTION&lt;/keyword&gt;&lt;keyword&gt;EUROPEAN COMMUNITY&lt;/keyword&gt;&lt;keyword&gt;ECOSYSTEM SERVICE&lt;/keyword&gt;&lt;keyword&gt;MACADAMIA FLOWERS&lt;/keyword&gt;&lt;/keywords&gt;&lt;dates&gt;&lt;year&gt;2007&lt;/year&gt;&lt;pub-dates&gt;&lt;date&gt;Feb&lt;/date&gt;&lt;/pub-dates&gt;&lt;/dates&gt;&lt;isbn&gt;0962-8452&lt;/isbn&gt;&lt;accession-num&gt;ISI:000243354100001&lt;/accession-num&gt;&lt;urls&gt;&lt;related-urls&gt;&lt;url&gt;&amp;lt;Go to ISI&amp;gt;://000243354100001 &lt;/url&gt;&lt;/related-urls&gt;&lt;/urls&gt;&lt;/record&gt;&lt;/Cite&gt;&lt;/EndNote&gt;</w:instrText>
      </w:r>
      <w:r>
        <w:fldChar w:fldCharType="separate"/>
      </w:r>
      <w:r>
        <w:t xml:space="preserve">(Klein </w:t>
      </w:r>
      <w:r w:rsidRPr="006A74EB">
        <w:rPr>
          <w:i/>
        </w:rPr>
        <w:t>et al</w:t>
      </w:r>
      <w:r>
        <w:t>. 2007)</w:t>
      </w:r>
      <w:r>
        <w:fldChar w:fldCharType="end"/>
      </w:r>
      <w:r>
        <w:t>.</w:t>
      </w:r>
    </w:p>
    <w:p w:rsidR="0004680D" w:rsidRDefault="0004680D" w:rsidP="0004680D">
      <w:pPr>
        <w:pStyle w:val="Heading2"/>
        <w:jc w:val="both"/>
        <w:rPr>
          <w:rFonts w:ascii="Cambria" w:hAnsi="Cambria"/>
        </w:rPr>
      </w:pPr>
    </w:p>
    <w:p w:rsidR="0004680D" w:rsidRPr="001E0814" w:rsidRDefault="0004680D" w:rsidP="0004680D">
      <w:pPr>
        <w:pStyle w:val="Heading2"/>
        <w:ind w:hanging="187"/>
        <w:jc w:val="both"/>
        <w:rPr>
          <w:rFonts w:ascii="Cambria" w:hAnsi="Cambria"/>
        </w:rPr>
      </w:pPr>
      <w:bookmarkStart w:id="21" w:name="_Toc158980637"/>
      <w:r w:rsidRPr="001E0814">
        <w:rPr>
          <w:rFonts w:ascii="Cambria" w:hAnsi="Cambria"/>
        </w:rPr>
        <w:t>References</w:t>
      </w:r>
      <w:bookmarkEnd w:id="21"/>
    </w:p>
    <w:p w:rsidR="0004680D" w:rsidRDefault="0004680D" w:rsidP="0004680D">
      <w:pPr>
        <w:ind w:left="720" w:hanging="720"/>
        <w:jc w:val="both"/>
      </w:pPr>
    </w:p>
    <w:p w:rsidR="0004680D" w:rsidRPr="00572E67" w:rsidRDefault="0004680D" w:rsidP="0004680D">
      <w:pPr>
        <w:ind w:left="720" w:hanging="720"/>
        <w:jc w:val="both"/>
      </w:pPr>
      <w:r w:rsidRPr="00572E67">
        <w:fldChar w:fldCharType="begin"/>
      </w:r>
      <w:r w:rsidRPr="00572E67">
        <w:instrText xml:space="preserve"> ADDIN EN.REFLIST </w:instrText>
      </w:r>
      <w:r w:rsidRPr="00572E67">
        <w:fldChar w:fldCharType="separate"/>
      </w:r>
      <w:r w:rsidRPr="00572E67">
        <w:t xml:space="preserve">Allen-Wardell, G., P. Bernhardt, R. Bitner, A. Burquez, S. Buchmann, J. Cane, PA Cox, V. Dalton, P. Feinsinger, M. Ingram, D. Inouye, CE Jones, K. Kennedy, P. Kevan, and H. Koopowitz. 1998. The potential consequences of pollinator declines on the conservation of biodiversity and stability of food crop yields. </w:t>
      </w:r>
      <w:r w:rsidRPr="00572E67">
        <w:rPr>
          <w:i/>
        </w:rPr>
        <w:t>Conservation Biology</w:t>
      </w:r>
      <w:r w:rsidRPr="00572E67">
        <w:t xml:space="preserve"> 12: 8-17.</w:t>
      </w:r>
    </w:p>
    <w:p w:rsidR="0004680D" w:rsidRPr="00572E67" w:rsidRDefault="0004680D" w:rsidP="0004680D">
      <w:pPr>
        <w:ind w:left="720" w:hanging="720"/>
        <w:jc w:val="both"/>
      </w:pPr>
      <w:r w:rsidRPr="00572E67">
        <w:t xml:space="preserve">Cane, JH. 1997. Lifetime monetary value of individual pollinators: the bee habropoda laboriosa at rabbiteye blueberry (vaccinium ashei reade). </w:t>
      </w:r>
      <w:r w:rsidRPr="00572E67">
        <w:rPr>
          <w:i/>
        </w:rPr>
        <w:t>Acta Horticulturae</w:t>
      </w:r>
      <w:r w:rsidRPr="00572E67">
        <w:t xml:space="preserve"> 446: 67-70.</w:t>
      </w:r>
    </w:p>
    <w:p w:rsidR="0004680D" w:rsidRPr="00572E67" w:rsidRDefault="0004680D" w:rsidP="0004680D">
      <w:pPr>
        <w:ind w:left="720" w:hanging="720"/>
        <w:jc w:val="both"/>
      </w:pPr>
      <w:r w:rsidRPr="00572E67">
        <w:t xml:space="preserve">Costanza, R., R. d'Arge, R. de Groot, S. Farber, M. Grasso, B. Hannon, K. Limburg, S. Naeem, RV O'Neill, J. Paruelo, RG Raskin, P. Sutton, and M. van den Belt. 1997. The value of the world's ecosystem services and natural capital. </w:t>
      </w:r>
      <w:r w:rsidRPr="00572E67">
        <w:rPr>
          <w:i/>
        </w:rPr>
        <w:t>Nature</w:t>
      </w:r>
      <w:r w:rsidRPr="00572E67">
        <w:t xml:space="preserve"> 387: 253-260.</w:t>
      </w:r>
    </w:p>
    <w:p w:rsidR="0004680D" w:rsidRPr="00572E67" w:rsidRDefault="0004680D" w:rsidP="0004680D">
      <w:pPr>
        <w:ind w:left="720" w:hanging="720"/>
        <w:jc w:val="both"/>
      </w:pPr>
      <w:r w:rsidRPr="00572E67">
        <w:t xml:space="preserve">Free, JB. 1993. </w:t>
      </w:r>
      <w:r w:rsidRPr="00572E67">
        <w:rPr>
          <w:i/>
        </w:rPr>
        <w:t>Insect pollination of crops</w:t>
      </w:r>
      <w:r w:rsidRPr="00572E67">
        <w:t>. Academic Press, London.</w:t>
      </w:r>
    </w:p>
    <w:p w:rsidR="0004680D" w:rsidRPr="00572E67" w:rsidRDefault="0004680D" w:rsidP="0004680D">
      <w:pPr>
        <w:ind w:left="720" w:hanging="720"/>
        <w:jc w:val="both"/>
      </w:pPr>
      <w:r w:rsidRPr="00572E67">
        <w:t xml:space="preserve">Greenleaf, SS, NM Williams, R. Winfree, and C. Kremen. 2007. Bee foraging ranges and their relationship to body size. </w:t>
      </w:r>
      <w:r w:rsidRPr="00572E67">
        <w:rPr>
          <w:i/>
        </w:rPr>
        <w:t>Oecologia</w:t>
      </w:r>
      <w:r w:rsidRPr="00572E67">
        <w:t xml:space="preserve"> 153: 589-596.</w:t>
      </w:r>
    </w:p>
    <w:p w:rsidR="0004680D" w:rsidRPr="00572E67" w:rsidRDefault="0004680D" w:rsidP="0004680D">
      <w:pPr>
        <w:jc w:val="both"/>
      </w:pPr>
      <w:r w:rsidRPr="00572E67">
        <w:t xml:space="preserve">Greenleaf, SS, and C. Kremen. 2006. Wild bee species increase tomato production and respond </w:t>
      </w:r>
    </w:p>
    <w:p w:rsidR="0004680D" w:rsidRPr="00572E67" w:rsidRDefault="0004680D" w:rsidP="0004680D">
      <w:pPr>
        <w:ind w:left="720"/>
        <w:jc w:val="both"/>
      </w:pPr>
      <w:r w:rsidRPr="00572E67">
        <w:t xml:space="preserve">differently to surrounding land use in Northern California. </w:t>
      </w:r>
      <w:r w:rsidRPr="00572E67">
        <w:rPr>
          <w:i/>
        </w:rPr>
        <w:t>Biological Conservation</w:t>
      </w:r>
      <w:r w:rsidRPr="00572E67">
        <w:t xml:space="preserve"> 133:81-87.</w:t>
      </w:r>
    </w:p>
    <w:p w:rsidR="0004680D" w:rsidRPr="00572E67" w:rsidRDefault="0004680D" w:rsidP="0004680D">
      <w:pPr>
        <w:ind w:left="720" w:hanging="720"/>
        <w:jc w:val="both"/>
      </w:pPr>
      <w:r w:rsidRPr="00572E67">
        <w:t xml:space="preserve">Klein, AM, BE Vaissiere, JH Cane, I. Steffan-Dewenter, SA Cunningham, C. Kremen, and T. Tscharntke. 2007. Importance of pollinators in changing landscapes for world crops. </w:t>
      </w:r>
      <w:r w:rsidRPr="00572E67">
        <w:rPr>
          <w:i/>
        </w:rPr>
        <w:t>Proceedings of the Royal Society B-Biological Sciences</w:t>
      </w:r>
      <w:r w:rsidRPr="00572E67">
        <w:t xml:space="preserve"> 274: 303-313.</w:t>
      </w:r>
    </w:p>
    <w:p w:rsidR="0004680D" w:rsidRPr="00572E67" w:rsidRDefault="0004680D" w:rsidP="0004680D">
      <w:pPr>
        <w:ind w:left="720" w:hanging="720"/>
        <w:jc w:val="both"/>
      </w:pPr>
      <w:r w:rsidRPr="00572E67">
        <w:t xml:space="preserve">Kremen, C., NM Williams, RL Bugg, JP Fay, and RW Thorp. 2004. The area requirements of an ecosystem service: crop pollination by native bee communities in California. </w:t>
      </w:r>
      <w:r w:rsidRPr="00572E67">
        <w:rPr>
          <w:i/>
        </w:rPr>
        <w:t>Ecology Letters</w:t>
      </w:r>
      <w:r w:rsidRPr="00572E67">
        <w:t xml:space="preserve"> 7: 1109-1119.</w:t>
      </w:r>
    </w:p>
    <w:p w:rsidR="0004680D" w:rsidRPr="00572E67" w:rsidRDefault="0004680D" w:rsidP="0004680D">
      <w:pPr>
        <w:ind w:left="720" w:hanging="720"/>
        <w:jc w:val="both"/>
      </w:pPr>
      <w:r w:rsidRPr="00572E67">
        <w:t xml:space="preserve">Lonsdorf, E., C. Kremen, T. Ricketts, R. Winfree, N. Williams, and SS Greenleaf. 2009. Modelling pollination services across agricultural landscapes.  </w:t>
      </w:r>
      <w:r w:rsidRPr="00572E67">
        <w:rPr>
          <w:i/>
        </w:rPr>
        <w:t>Annals of Botany</w:t>
      </w:r>
      <w:r w:rsidRPr="00572E67">
        <w:t xml:space="preserve"> 1: 12 online [http://aob.oxfordjournals.org/cgi/content/abstract/103/9/1589].</w:t>
      </w:r>
    </w:p>
    <w:p w:rsidR="0004680D" w:rsidRPr="00572E67" w:rsidRDefault="0004680D" w:rsidP="0004680D">
      <w:pPr>
        <w:ind w:left="720" w:hanging="720"/>
        <w:jc w:val="both"/>
      </w:pPr>
      <w:r w:rsidRPr="00572E67">
        <w:lastRenderedPageBreak/>
        <w:t xml:space="preserve">Lonsdorf, E., TH Ricketts, CM Kremen, NM Williams, and S. Greenleaf. in press. Pollination services in P. Kareiva, TH Ricketts, GC Daily, H. Tallis, and S. Polasky, eds. </w:t>
      </w:r>
      <w:r w:rsidRPr="00572E67">
        <w:rPr>
          <w:i/>
        </w:rPr>
        <w:t>The theory and practice of ecosystem service valuation</w:t>
      </w:r>
      <w:r w:rsidRPr="00572E67">
        <w:t>.</w:t>
      </w:r>
    </w:p>
    <w:p w:rsidR="0004680D" w:rsidRPr="00572E67" w:rsidRDefault="0004680D" w:rsidP="0004680D">
      <w:pPr>
        <w:ind w:left="720" w:hanging="720"/>
        <w:jc w:val="both"/>
      </w:pPr>
      <w:r w:rsidRPr="00572E67">
        <w:t xml:space="preserve">Losey, JE, and M. Vaughan. 2006. The economic value of ecological services provided by insects. </w:t>
      </w:r>
      <w:r w:rsidRPr="00572E67">
        <w:rPr>
          <w:i/>
        </w:rPr>
        <w:t>Bioscience</w:t>
      </w:r>
      <w:r w:rsidRPr="00572E67">
        <w:t xml:space="preserve"> 56: 311-323.</w:t>
      </w:r>
    </w:p>
    <w:p w:rsidR="0004680D" w:rsidRPr="00572E67" w:rsidRDefault="0004680D" w:rsidP="0004680D">
      <w:pPr>
        <w:ind w:left="720" w:hanging="720"/>
        <w:jc w:val="both"/>
      </w:pPr>
      <w:r w:rsidRPr="00572E67">
        <w:t xml:space="preserve">Nabhan, GP, and SL Buchmann. 1997. Services provided by pollinators. Pages 133-150 in GC Daily, ed. </w:t>
      </w:r>
      <w:r w:rsidRPr="00572E67">
        <w:rPr>
          <w:i/>
        </w:rPr>
        <w:t>Nature's services</w:t>
      </w:r>
      <w:r w:rsidRPr="00572E67">
        <w:t>. Island Press, Washington, D.C.</w:t>
      </w:r>
    </w:p>
    <w:p w:rsidR="0004680D" w:rsidRPr="00572E67" w:rsidRDefault="0004680D" w:rsidP="0004680D">
      <w:pPr>
        <w:ind w:left="720" w:hanging="720"/>
        <w:jc w:val="both"/>
      </w:pPr>
      <w:r w:rsidRPr="00572E67">
        <w:t xml:space="preserve">Priess, JA, M. Mimler, AM Klein, S. Schwarze, T. Tscharntke, and I. Steffan-Dewenter. 2007. Linking deforestation scenarios to pollination services and economic returns in coffee agroforestry systems. </w:t>
      </w:r>
      <w:r w:rsidRPr="00572E67">
        <w:rPr>
          <w:i/>
        </w:rPr>
        <w:t>Ecological Applications</w:t>
      </w:r>
      <w:r w:rsidRPr="00572E67">
        <w:t xml:space="preserve"> 17: 407-417.</w:t>
      </w:r>
    </w:p>
    <w:p w:rsidR="0004680D" w:rsidRPr="00572E67" w:rsidRDefault="0004680D" w:rsidP="0004680D">
      <w:pPr>
        <w:ind w:left="720" w:hanging="720"/>
        <w:jc w:val="both"/>
      </w:pPr>
      <w:r w:rsidRPr="00572E67">
        <w:t xml:space="preserve">Ricketts, TH. 2004. Tropical forest fragments enhance pollinator activity in nearby coffee crops. </w:t>
      </w:r>
      <w:r w:rsidRPr="00572E67">
        <w:rPr>
          <w:i/>
        </w:rPr>
        <w:t>Conservation Biology</w:t>
      </w:r>
      <w:r w:rsidRPr="00572E67">
        <w:t xml:space="preserve"> 18: 1262-1271.</w:t>
      </w:r>
    </w:p>
    <w:p w:rsidR="0004680D" w:rsidRPr="00572E67" w:rsidRDefault="0004680D" w:rsidP="0004680D">
      <w:pPr>
        <w:ind w:left="720" w:hanging="720"/>
        <w:jc w:val="both"/>
      </w:pPr>
      <w:r w:rsidRPr="00572E67">
        <w:t xml:space="preserve">Ricketts, TH, NM Williams, and MM Mayfield. 2006. Connectivity and ecosystem services: crop pollination in agricultural landscapes. Pages 255-289 in M. Sanjayan and K. Crooks, eds. </w:t>
      </w:r>
      <w:r w:rsidRPr="00572E67">
        <w:rPr>
          <w:i/>
        </w:rPr>
        <w:t>Connectivity for Conservation</w:t>
      </w:r>
      <w:r w:rsidRPr="00572E67">
        <w:t>. Cambridge University Press, Cambridge, UK.</w:t>
      </w:r>
    </w:p>
    <w:p w:rsidR="0004680D" w:rsidRPr="00572E67" w:rsidRDefault="0004680D" w:rsidP="0004680D">
      <w:pPr>
        <w:ind w:left="720" w:hanging="720"/>
        <w:jc w:val="both"/>
      </w:pPr>
      <w:r w:rsidRPr="00572E67">
        <w:t xml:space="preserve">Roubik, DW, and M. Aluja. 1983. Flight ranges of </w:t>
      </w:r>
      <w:r w:rsidRPr="00572E67">
        <w:rPr>
          <w:i/>
        </w:rPr>
        <w:t xml:space="preserve">Melipona </w:t>
      </w:r>
      <w:r w:rsidRPr="00572E67">
        <w:t xml:space="preserve">and </w:t>
      </w:r>
      <w:r w:rsidRPr="00572E67">
        <w:rPr>
          <w:i/>
        </w:rPr>
        <w:t xml:space="preserve">Trigona </w:t>
      </w:r>
      <w:r w:rsidRPr="00572E67">
        <w:t xml:space="preserve">in tropical forest. </w:t>
      </w:r>
      <w:r w:rsidRPr="00572E67">
        <w:rPr>
          <w:i/>
        </w:rPr>
        <w:t>Journal of the Kansas Entomological Society</w:t>
      </w:r>
      <w:r w:rsidRPr="00572E67">
        <w:t xml:space="preserve"> 56: 217-222.</w:t>
      </w:r>
    </w:p>
    <w:p w:rsidR="0004680D" w:rsidRPr="00572E67" w:rsidRDefault="0004680D" w:rsidP="0004680D">
      <w:pPr>
        <w:ind w:left="720" w:hanging="720"/>
        <w:jc w:val="both"/>
      </w:pPr>
      <w:r w:rsidRPr="00572E67">
        <w:t xml:space="preserve">Southwick, EE, and L. Southwick. 1992. Estimating the economic value of honey-bees (Hymenoptera; Apidae) as agricultural pollinators in the United States. </w:t>
      </w:r>
      <w:r w:rsidRPr="00572E67">
        <w:rPr>
          <w:i/>
        </w:rPr>
        <w:t>Journal of Economic Entomology</w:t>
      </w:r>
      <w:r w:rsidRPr="00572E67">
        <w:t xml:space="preserve"> 85: 621-633.</w:t>
      </w:r>
    </w:p>
    <w:p w:rsidR="0004680D" w:rsidRPr="00572E67" w:rsidRDefault="0004680D" w:rsidP="0004680D">
      <w:pPr>
        <w:ind w:left="720" w:hanging="720"/>
        <w:jc w:val="both"/>
      </w:pPr>
      <w:r w:rsidRPr="00572E67">
        <w:t xml:space="preserve">Winfree, R., J. Dushoff, EE Crone, CB Schultz, RV Budny, NM Williams, and C. Kremen. 2005. Testing simple indices of habitat proximity. </w:t>
      </w:r>
      <w:r w:rsidRPr="00572E67">
        <w:rPr>
          <w:i/>
        </w:rPr>
        <w:t>American Naturalist</w:t>
      </w:r>
      <w:r w:rsidRPr="00572E67">
        <w:t xml:space="preserve"> 165(6): 707-717. </w:t>
      </w:r>
    </w:p>
    <w:p w:rsidR="0004680D" w:rsidRPr="00572E67" w:rsidRDefault="0004680D" w:rsidP="0004680D">
      <w:pPr>
        <w:jc w:val="both"/>
      </w:pPr>
    </w:p>
    <w:p w:rsidR="00806F54" w:rsidRDefault="0004680D" w:rsidP="0004680D">
      <w:r w:rsidRPr="00572E67">
        <w:fldChar w:fldCharType="end"/>
      </w:r>
    </w:p>
    <w:sectPr w:rsidR="00806F54" w:rsidSect="00F54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auto"/>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E72CAF"/>
    <w:multiLevelType w:val="hybridMultilevel"/>
    <w:tmpl w:val="E41C9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C76F1"/>
    <w:multiLevelType w:val="hybridMultilevel"/>
    <w:tmpl w:val="63D2056C"/>
    <w:lvl w:ilvl="0" w:tplc="5A500B1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07016"/>
    <w:multiLevelType w:val="hybridMultilevel"/>
    <w:tmpl w:val="1BF6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E769F"/>
    <w:multiLevelType w:val="hybridMultilevel"/>
    <w:tmpl w:val="BCD24044"/>
    <w:lvl w:ilvl="0" w:tplc="E47642F4">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9272EA"/>
    <w:multiLevelType w:val="hybridMultilevel"/>
    <w:tmpl w:val="764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76FE4"/>
    <w:multiLevelType w:val="hybridMultilevel"/>
    <w:tmpl w:val="A170BDF4"/>
    <w:lvl w:ilvl="0" w:tplc="04090001">
      <w:start w:val="1"/>
      <w:numFmt w:val="bullet"/>
      <w:lvlText w:val=""/>
      <w:lvlJc w:val="left"/>
      <w:pPr>
        <w:ind w:left="734" w:hanging="360"/>
      </w:pPr>
      <w:rPr>
        <w:rFonts w:ascii="Symbol" w:hAnsi="Symbol" w:hint="default"/>
        <w:b/>
        <w:bCs/>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
    <w:nsid w:val="5E0F3C3B"/>
    <w:multiLevelType w:val="multilevel"/>
    <w:tmpl w:val="6014441A"/>
    <w:lvl w:ilvl="0">
      <w:start w:val="1"/>
      <w:numFmt w:val="decimal"/>
      <w:lvlText w:val="%1."/>
      <w:lvlJc w:val="left"/>
      <w:pPr>
        <w:ind w:left="720" w:hanging="360"/>
      </w:pPr>
      <w:rPr>
        <w:b/>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rPr>
        <w:b/>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B4217CE"/>
    <w:multiLevelType w:val="hybridMultilevel"/>
    <w:tmpl w:val="C956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46D34"/>
    <w:multiLevelType w:val="hybridMultilevel"/>
    <w:tmpl w:val="54AA5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3"/>
  </w:num>
  <w:num w:numId="6">
    <w:abstractNumId w:val="5"/>
  </w:num>
  <w:num w:numId="7">
    <w:abstractNumId w:val="9"/>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4680D"/>
    <w:rsid w:val="0004680D"/>
    <w:rsid w:val="0010349A"/>
    <w:rsid w:val="003C18E8"/>
    <w:rsid w:val="00F54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680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4680D"/>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04680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80D"/>
    <w:rPr>
      <w:rFonts w:ascii="Arial" w:eastAsia="Times New Roman" w:hAnsi="Arial" w:cs="Arial"/>
      <w:b/>
      <w:bCs/>
      <w:kern w:val="32"/>
      <w:sz w:val="32"/>
      <w:szCs w:val="32"/>
    </w:rPr>
  </w:style>
  <w:style w:type="character" w:customStyle="1" w:styleId="Heading2Char">
    <w:name w:val="Heading 2 Char"/>
    <w:basedOn w:val="DefaultParagraphFont"/>
    <w:link w:val="Heading2"/>
    <w:rsid w:val="0004680D"/>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04680D"/>
    <w:rPr>
      <w:rFonts w:asciiTheme="majorHAnsi" w:eastAsiaTheme="majorEastAsia" w:hAnsiTheme="majorHAnsi" w:cstheme="majorBidi"/>
      <w:b/>
      <w:bCs/>
      <w:color w:val="4F81BD" w:themeColor="accent1"/>
      <w:sz w:val="24"/>
      <w:szCs w:val="24"/>
    </w:rPr>
  </w:style>
  <w:style w:type="character" w:customStyle="1" w:styleId="Heading3Char1">
    <w:name w:val="Heading 3 Char1"/>
    <w:aliases w:val=" Char Char,Char Char1"/>
    <w:basedOn w:val="DefaultParagraphFont"/>
    <w:link w:val="Heading3"/>
    <w:rsid w:val="0004680D"/>
    <w:rPr>
      <w:rFonts w:ascii="Arial" w:eastAsia="Times New Roman" w:hAnsi="Arial" w:cs="Arial"/>
      <w:b/>
      <w:bCs/>
      <w:sz w:val="26"/>
      <w:szCs w:val="26"/>
    </w:rPr>
  </w:style>
  <w:style w:type="character" w:styleId="Hyperlink">
    <w:name w:val="Hyperlink"/>
    <w:basedOn w:val="DefaultParagraphFont"/>
    <w:uiPriority w:val="99"/>
    <w:rsid w:val="0004680D"/>
    <w:rPr>
      <w:color w:val="0000FF"/>
      <w:u w:val="single"/>
    </w:rPr>
  </w:style>
  <w:style w:type="paragraph" w:customStyle="1" w:styleId="ColorfulShading-Accent31">
    <w:name w:val="Colorful Shading - Accent 31"/>
    <w:basedOn w:val="Normal"/>
    <w:qFormat/>
    <w:rsid w:val="0004680D"/>
    <w:pPr>
      <w:ind w:left="720"/>
      <w:contextualSpacing/>
    </w:pPr>
    <w:rPr>
      <w:rFonts w:ascii="Calibri" w:eastAsia="Calibri" w:hAnsi="Calibri"/>
      <w:sz w:val="22"/>
      <w:szCs w:val="22"/>
    </w:rPr>
  </w:style>
  <w:style w:type="paragraph" w:styleId="NormalWeb">
    <w:name w:val="Normal (Web)"/>
    <w:basedOn w:val="Normal"/>
    <w:uiPriority w:val="99"/>
    <w:rsid w:val="0004680D"/>
    <w:pPr>
      <w:spacing w:before="100" w:beforeAutospacing="1" w:after="100" w:afterAutospacing="1"/>
    </w:pPr>
  </w:style>
  <w:style w:type="paragraph" w:customStyle="1" w:styleId="Default">
    <w:name w:val="Default"/>
    <w:rsid w:val="0004680D"/>
    <w:pPr>
      <w:widowControl w:val="0"/>
      <w:autoSpaceDE w:val="0"/>
      <w:autoSpaceDN w:val="0"/>
      <w:adjustRightInd w:val="0"/>
      <w:spacing w:after="0" w:line="240" w:lineRule="auto"/>
    </w:pPr>
    <w:rPr>
      <w:rFonts w:ascii="Times" w:eastAsia="Times New Roman" w:hAnsi="Times" w:cs="Times"/>
      <w:color w:val="000000"/>
      <w:sz w:val="24"/>
      <w:szCs w:val="24"/>
    </w:rPr>
  </w:style>
  <w:style w:type="character" w:customStyle="1" w:styleId="CharChar">
    <w:name w:val="Char Char"/>
    <w:aliases w:val="Char Char Char"/>
    <w:basedOn w:val="DefaultParagraphFont"/>
    <w:rsid w:val="0004680D"/>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hyperlink" Target="http://pypi.python.org/pypi/GDAL/1.6.1" TargetMode="External"/><Relationship Id="rId2" Type="http://schemas.openxmlformats.org/officeDocument/2006/relationships/styles" Target="styles.xml"/><Relationship Id="rId16" Type="http://schemas.openxmlformats.org/officeDocument/2006/relationships/hyperlink" Target="http://download.osgeo.org/gdal/win32/1.6/gdalwin32exe160.zip"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NULL" TargetMode="External"/><Relationship Id="rId11" Type="http://schemas.openxmlformats.org/officeDocument/2006/relationships/image" Target="media/image4.wmf"/><Relationship Id="rId5" Type="http://schemas.openxmlformats.org/officeDocument/2006/relationships/image" Target="media/image1.jpeg"/><Relationship Id="rId15" Type="http://schemas.openxmlformats.org/officeDocument/2006/relationships/hyperlink" Target="http://sourceforge.net/projects/numpy/files/"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9104</Words>
  <Characters>51898</Characters>
  <Application>Microsoft Office Word</Application>
  <DocSecurity>0</DocSecurity>
  <Lines>432</Lines>
  <Paragraphs>121</Paragraphs>
  <ScaleCrop>false</ScaleCrop>
  <Company/>
  <LinksUpToDate>false</LinksUpToDate>
  <CharactersWithSpaces>60881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2011-05-08T00:21:00Z</dcterms:created>
  <dcterms:modified xsi:type="dcterms:W3CDTF">2011-05-08T00:22:00Z</dcterms:modified>
</cp:coreProperties>
</file>