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4C39" w:rsidRDefault="00E44C39" w:rsidP="00E44C39">
      <w:pPr>
        <w:jc w:val="center"/>
        <w:rPr>
          <w:rFonts w:cs="Verdana"/>
          <w:b/>
          <w:szCs w:val="20"/>
        </w:rPr>
      </w:pPr>
      <w:bookmarkStart w:id="0" w:name="_Toc278004915"/>
      <w:r>
        <w:rPr>
          <w:rFonts w:ascii="Perpetua Titling MT" w:hAnsi="Perpetua Titling MT" w:cs="Verdana"/>
          <w:b/>
          <w:szCs w:val="20"/>
        </w:rPr>
        <w:t xml:space="preserve">Habitat </w:t>
      </w:r>
      <w:r w:rsidRPr="002B4E2B">
        <w:rPr>
          <w:rFonts w:ascii="Perpetua Titling MT" w:hAnsi="Perpetua Titling MT" w:cs="Verdana"/>
          <w:b/>
          <w:szCs w:val="20"/>
        </w:rPr>
        <w:t xml:space="preserve">Risk Assessment </w:t>
      </w:r>
    </w:p>
    <w:p w:rsidR="00E44C39" w:rsidRPr="00657E83" w:rsidRDefault="00E44C39" w:rsidP="00E44C39">
      <w:pPr>
        <w:pStyle w:val="Heading1"/>
        <w:rPr>
          <w:rFonts w:ascii="Times New Roman" w:hAnsi="Times New Roman"/>
          <w:i/>
          <w:color w:val="auto"/>
        </w:rPr>
      </w:pPr>
      <w:r w:rsidRPr="002B4E2B">
        <w:rPr>
          <w:rFonts w:ascii="Times New Roman" w:hAnsi="Times New Roman"/>
          <w:i/>
          <w:color w:val="auto"/>
        </w:rPr>
        <w:t>Summary</w:t>
      </w:r>
    </w:p>
    <w:p w:rsidR="00E44C39" w:rsidRPr="002E5B45" w:rsidRDefault="00E44C39" w:rsidP="00E44C39">
      <w:pPr>
        <w:rPr>
          <w:i/>
        </w:rPr>
      </w:pPr>
    </w:p>
    <w:p w:rsidR="00E44C39" w:rsidRDefault="00E44C39" w:rsidP="00E44C39">
      <w:pPr>
        <w:rPr>
          <w:rFonts w:cs="Verdana"/>
          <w:szCs w:val="20"/>
        </w:rPr>
      </w:pPr>
      <w:r>
        <w:rPr>
          <w:rFonts w:cs="Verdana"/>
          <w:szCs w:val="20"/>
        </w:rPr>
        <w:t xml:space="preserve">The condition of a habitat is a key determinant of the ecosystem services it can provide.  Multiple stressors including fishing, climate change, pollution and coastal development threaten the ability of coastal ecosystems to provide the valuable goods and services that people want and need. As human activities continue to intensify in coastal areas, so does the need for quick, clear and repeatable ways of assessing the risks posed by human activities under various management plans. </w:t>
      </w:r>
      <w:r w:rsidRPr="002E5B45">
        <w:rPr>
          <w:rFonts w:cs="Verdana"/>
          <w:szCs w:val="20"/>
        </w:rPr>
        <w:t>The</w:t>
      </w:r>
      <w:r>
        <w:rPr>
          <w:rFonts w:cs="Verdana"/>
          <w:szCs w:val="20"/>
        </w:rPr>
        <w:t xml:space="preserve"> </w:t>
      </w:r>
      <w:proofErr w:type="spellStart"/>
      <w:r>
        <w:rPr>
          <w:rFonts w:cs="Verdana"/>
          <w:szCs w:val="20"/>
        </w:rPr>
        <w:t>InVEST</w:t>
      </w:r>
      <w:proofErr w:type="spellEnd"/>
      <w:r>
        <w:rPr>
          <w:rFonts w:cs="Verdana"/>
          <w:szCs w:val="20"/>
        </w:rPr>
        <w:t xml:space="preserve"> habitat risk assessment (HRA) model allows users to assess</w:t>
      </w:r>
      <w:r w:rsidRPr="002E5B45">
        <w:rPr>
          <w:rFonts w:cs="Verdana"/>
          <w:szCs w:val="20"/>
        </w:rPr>
        <w:t xml:space="preserve"> </w:t>
      </w:r>
      <w:r>
        <w:rPr>
          <w:rFonts w:cs="Verdana"/>
          <w:szCs w:val="20"/>
        </w:rPr>
        <w:t xml:space="preserve">the risk posed to coastal and marine habitats by human activities and the potential consequences of exposure for the delivery of ecosystem services and biodiversity. The </w:t>
      </w:r>
      <w:proofErr w:type="spellStart"/>
      <w:r>
        <w:rPr>
          <w:rFonts w:cs="Verdana"/>
          <w:szCs w:val="20"/>
        </w:rPr>
        <w:t>InVEST</w:t>
      </w:r>
      <w:proofErr w:type="spellEnd"/>
      <w:r>
        <w:rPr>
          <w:rFonts w:cs="Verdana"/>
          <w:szCs w:val="20"/>
        </w:rPr>
        <w:t xml:space="preserve"> HRA model is similar to the </w:t>
      </w:r>
      <w:proofErr w:type="spellStart"/>
      <w:r>
        <w:rPr>
          <w:rFonts w:cs="Verdana"/>
          <w:szCs w:val="20"/>
        </w:rPr>
        <w:t>InVEST</w:t>
      </w:r>
      <w:proofErr w:type="spellEnd"/>
      <w:r>
        <w:rPr>
          <w:rFonts w:cs="Verdana"/>
          <w:szCs w:val="20"/>
        </w:rPr>
        <w:t xml:space="preserve"> biodiversity model in that both models allow users to identify regions on a landscape or seascape where human impacts are highest. While the biodiversity model is intended be used to assess how human activities impact biodiversity, the HRA model is better suited to screening the risk of current and future human activities to prioritize management strategies that best mitigate risk. </w:t>
      </w:r>
      <w:r w:rsidDel="00BF1C35">
        <w:rPr>
          <w:rFonts w:cs="Verdana"/>
          <w:szCs w:val="20"/>
        </w:rPr>
        <w:t xml:space="preserve"> </w:t>
      </w:r>
    </w:p>
    <w:p w:rsidR="00E44C39" w:rsidRDefault="00E44C39" w:rsidP="00E44C39">
      <w:pPr>
        <w:rPr>
          <w:rFonts w:cs="Verdana"/>
          <w:szCs w:val="20"/>
        </w:rPr>
      </w:pPr>
    </w:p>
    <w:p w:rsidR="00E44C39" w:rsidRDefault="00E44C39" w:rsidP="00E44C39">
      <w:pPr>
        <w:rPr>
          <w:rFonts w:cs="Verdana"/>
          <w:szCs w:val="20"/>
        </w:rPr>
      </w:pPr>
      <w:r>
        <w:rPr>
          <w:rFonts w:cs="Verdana"/>
          <w:szCs w:val="20"/>
        </w:rPr>
        <w:t xml:space="preserve">Risk </w:t>
      </w:r>
      <w:r w:rsidRPr="00960284">
        <w:rPr>
          <w:rFonts w:cs="Verdana"/>
          <w:szCs w:val="20"/>
        </w:rPr>
        <w:t xml:space="preserve">of </w:t>
      </w:r>
      <w:r>
        <w:rPr>
          <w:rFonts w:cs="Verdana"/>
          <w:szCs w:val="20"/>
        </w:rPr>
        <w:t xml:space="preserve">human </w:t>
      </w:r>
      <w:r w:rsidRPr="00960284">
        <w:rPr>
          <w:rFonts w:cs="Verdana"/>
          <w:szCs w:val="20"/>
        </w:rPr>
        <w:t>activities</w:t>
      </w:r>
      <w:r>
        <w:rPr>
          <w:rFonts w:cs="Verdana"/>
          <w:szCs w:val="20"/>
        </w:rPr>
        <w:t xml:space="preserve"> (e.g. salmon aquaculture, coastal development etc.) to </w:t>
      </w:r>
      <w:r w:rsidRPr="00960284">
        <w:rPr>
          <w:rFonts w:cs="Verdana"/>
          <w:szCs w:val="20"/>
        </w:rPr>
        <w:t>habitats</w:t>
      </w:r>
      <w:r w:rsidR="005F22DA">
        <w:rPr>
          <w:rFonts w:cs="Verdana"/>
          <w:szCs w:val="20"/>
        </w:rPr>
        <w:t xml:space="preserve"> (e.g. </w:t>
      </w:r>
      <w:proofErr w:type="spellStart"/>
      <w:r w:rsidR="005F22DA">
        <w:rPr>
          <w:rFonts w:cs="Verdana"/>
          <w:szCs w:val="20"/>
        </w:rPr>
        <w:t>seagrasses</w:t>
      </w:r>
      <w:proofErr w:type="spellEnd"/>
      <w:r w:rsidR="005F22DA">
        <w:rPr>
          <w:rFonts w:cs="Verdana"/>
          <w:szCs w:val="20"/>
        </w:rPr>
        <w:t>, kelp forests, mangroves, reefs)</w:t>
      </w:r>
      <w:r>
        <w:rPr>
          <w:rFonts w:cs="Verdana"/>
          <w:szCs w:val="20"/>
        </w:rPr>
        <w:t xml:space="preserve"> </w:t>
      </w:r>
      <w:r w:rsidRPr="00960284">
        <w:rPr>
          <w:rFonts w:cs="Verdana"/>
          <w:szCs w:val="20"/>
        </w:rPr>
        <w:t xml:space="preserve">is a function of the exposure </w:t>
      </w:r>
      <w:r>
        <w:rPr>
          <w:rFonts w:cs="Verdana"/>
          <w:szCs w:val="20"/>
        </w:rPr>
        <w:t xml:space="preserve">of each habitat to each activity and the </w:t>
      </w:r>
      <w:r>
        <w:rPr>
          <w:iCs/>
          <w:szCs w:val="23"/>
        </w:rPr>
        <w:t>consequences for each habitat. Consequence</w:t>
      </w:r>
      <w:r w:rsidRPr="00960284">
        <w:rPr>
          <w:iCs/>
          <w:szCs w:val="23"/>
        </w:rPr>
        <w:t xml:space="preserve"> depends on the effects of activities on habitat area and density, and the ability of habitats to recover from these effects (i.e., through </w:t>
      </w:r>
      <w:r>
        <w:rPr>
          <w:iCs/>
          <w:szCs w:val="23"/>
        </w:rPr>
        <w:t>processes</w:t>
      </w:r>
      <w:r w:rsidRPr="00960284">
        <w:rPr>
          <w:iCs/>
          <w:szCs w:val="23"/>
        </w:rPr>
        <w:t xml:space="preserve"> such as re</w:t>
      </w:r>
      <w:r>
        <w:rPr>
          <w:iCs/>
          <w:szCs w:val="23"/>
        </w:rPr>
        <w:t>cruitment and regeneration</w:t>
      </w:r>
      <w:r w:rsidRPr="00960284">
        <w:rPr>
          <w:iCs/>
          <w:szCs w:val="23"/>
        </w:rPr>
        <w:t xml:space="preserve">). </w:t>
      </w:r>
      <w:r w:rsidRPr="002E5B45">
        <w:rPr>
          <w:rFonts w:cs="Verdana"/>
          <w:szCs w:val="20"/>
        </w:rPr>
        <w:t xml:space="preserve">Outputs from the model are useful for understanding the relative </w:t>
      </w:r>
      <w:r>
        <w:rPr>
          <w:rFonts w:cs="Verdana"/>
          <w:szCs w:val="20"/>
        </w:rPr>
        <w:t>risk</w:t>
      </w:r>
      <w:r w:rsidRPr="002E5B45">
        <w:rPr>
          <w:rFonts w:cs="Verdana"/>
          <w:szCs w:val="20"/>
        </w:rPr>
        <w:t xml:space="preserve"> of human activities and climate change </w:t>
      </w:r>
      <w:r>
        <w:rPr>
          <w:rFonts w:cs="Verdana"/>
          <w:szCs w:val="20"/>
        </w:rPr>
        <w:t>to</w:t>
      </w:r>
      <w:r w:rsidRPr="002E5B45">
        <w:rPr>
          <w:rFonts w:cs="Verdana"/>
          <w:szCs w:val="20"/>
        </w:rPr>
        <w:t xml:space="preserve"> habitats within a study region and among alternative f</w:t>
      </w:r>
      <w:r>
        <w:rPr>
          <w:rFonts w:cs="Verdana"/>
          <w:szCs w:val="20"/>
        </w:rPr>
        <w:t>uture scenarios, and for identifying</w:t>
      </w:r>
      <w:r w:rsidRPr="002E5B45">
        <w:rPr>
          <w:rFonts w:cs="Verdana"/>
          <w:szCs w:val="20"/>
        </w:rPr>
        <w:t xml:space="preserve"> which habitat</w:t>
      </w:r>
      <w:r w:rsidRPr="00960284">
        <w:rPr>
          <w:rFonts w:cs="Verdana"/>
          <w:szCs w:val="20"/>
        </w:rPr>
        <w:t>s are of high enough quality to provide th</w:t>
      </w:r>
      <w:r>
        <w:rPr>
          <w:rFonts w:cs="Verdana"/>
          <w:szCs w:val="20"/>
        </w:rPr>
        <w:t xml:space="preserve">e services people care about. </w:t>
      </w:r>
      <w:r w:rsidRPr="00960284">
        <w:rPr>
          <w:rFonts w:cs="Verdana"/>
          <w:szCs w:val="20"/>
        </w:rPr>
        <w:t>The model will help to prioritize areas for conservation and inform the design and configuration of marine spatial plans.</w:t>
      </w:r>
      <w:r>
        <w:rPr>
          <w:rFonts w:cs="Verdana"/>
          <w:szCs w:val="20"/>
        </w:rPr>
        <w:t xml:space="preserve"> This is a Tier 1 model.</w:t>
      </w:r>
      <w:r w:rsidRPr="00960284">
        <w:rPr>
          <w:rFonts w:cs="Verdana"/>
          <w:szCs w:val="20"/>
        </w:rPr>
        <w:t xml:space="preserve">  </w:t>
      </w:r>
    </w:p>
    <w:p w:rsidR="00E44C39" w:rsidRDefault="00E44C39" w:rsidP="00E44C39">
      <w:pPr>
        <w:rPr>
          <w:rFonts w:cs="Verdana"/>
          <w:szCs w:val="20"/>
        </w:rPr>
      </w:pPr>
    </w:p>
    <w:p w:rsidR="00E44C39" w:rsidRPr="00657E83" w:rsidRDefault="00E44C39" w:rsidP="00E44C39">
      <w:pPr>
        <w:rPr>
          <w:b/>
          <w:i/>
          <w:sz w:val="28"/>
        </w:rPr>
      </w:pPr>
      <w:r w:rsidRPr="002B4E2B">
        <w:rPr>
          <w:b/>
          <w:i/>
          <w:sz w:val="28"/>
        </w:rPr>
        <w:t>Introduction</w:t>
      </w:r>
    </w:p>
    <w:p w:rsidR="00E44C39" w:rsidRDefault="00E44C39" w:rsidP="00E44C39"/>
    <w:p w:rsidR="00E44C39" w:rsidRDefault="00E44C39" w:rsidP="00E44C39">
      <w:proofErr w:type="spellStart"/>
      <w:r w:rsidRPr="00D35AF8">
        <w:t>Nearshore</w:t>
      </w:r>
      <w:proofErr w:type="spellEnd"/>
      <w:r w:rsidRPr="00D35AF8">
        <w:t xml:space="preserve"> habitats such as kelp forests and eelgrass meadows provide valuable ecosystem services including </w:t>
      </w:r>
      <w:r>
        <w:t>the</w:t>
      </w:r>
      <w:r w:rsidRPr="00D35AF8">
        <w:t xml:space="preserve"> protection </w:t>
      </w:r>
      <w:r>
        <w:t xml:space="preserve">of shorelines </w:t>
      </w:r>
      <w:r w:rsidRPr="00D35AF8">
        <w:t xml:space="preserve">from storms, nursery habitat for fisheries, and carbon storage. As these habitats become degraded by human activities, the ecosystem services they provide are threatened. The impacts of human activities in coastal areas, both on land and in the sea, are pervasive in coastal ecosystems. Recent global analyses have revealed that almost no area of the world’s oceans is untouched by human impacts (Halpern et al. 2008). Thus, an understanding of the location and intensity of human impacts on </w:t>
      </w:r>
      <w:proofErr w:type="spellStart"/>
      <w:r w:rsidRPr="00D35AF8">
        <w:t>nearshore</w:t>
      </w:r>
      <w:proofErr w:type="spellEnd"/>
      <w:r w:rsidRPr="00D35AF8">
        <w:t xml:space="preserve"> ecosystems is an essential component of informed and successful </w:t>
      </w:r>
      <w:r>
        <w:t xml:space="preserve">coastal and ocean management. </w:t>
      </w:r>
      <w:r w:rsidRPr="00D35AF8">
        <w:t xml:space="preserve">The </w:t>
      </w:r>
      <w:proofErr w:type="spellStart"/>
      <w:r>
        <w:t>InVEST</w:t>
      </w:r>
      <w:proofErr w:type="spellEnd"/>
      <w:r>
        <w:t xml:space="preserve"> HRA</w:t>
      </w:r>
      <w:r w:rsidRPr="00D35AF8">
        <w:t xml:space="preserve"> model allows users to assess the threat of human activities to the health of these ecosystems. </w:t>
      </w:r>
    </w:p>
    <w:p w:rsidR="00E44C39" w:rsidRDefault="00E44C39" w:rsidP="00E44C39"/>
    <w:p w:rsidR="00E44C39" w:rsidRPr="006777C0" w:rsidRDefault="00E44C39" w:rsidP="00E44C39">
      <w:pPr>
        <w:rPr>
          <w:rFonts w:cs="Verdana"/>
          <w:b/>
          <w:i/>
          <w:szCs w:val="20"/>
        </w:rPr>
      </w:pPr>
      <w:proofErr w:type="spellStart"/>
      <w:r w:rsidRPr="00297E22">
        <w:rPr>
          <w:rFonts w:cs="Verdana"/>
          <w:b/>
          <w:i/>
          <w:szCs w:val="20"/>
        </w:rPr>
        <w:t>InVEST</w:t>
      </w:r>
      <w:proofErr w:type="spellEnd"/>
      <w:r w:rsidRPr="00297E22">
        <w:rPr>
          <w:rFonts w:cs="Verdana"/>
          <w:b/>
          <w:i/>
          <w:szCs w:val="20"/>
        </w:rPr>
        <w:t xml:space="preserve"> </w:t>
      </w:r>
      <w:r>
        <w:rPr>
          <w:rFonts w:cs="Verdana"/>
          <w:b/>
          <w:i/>
          <w:szCs w:val="20"/>
        </w:rPr>
        <w:t>biodiversity</w:t>
      </w:r>
      <w:r w:rsidRPr="00297E22">
        <w:rPr>
          <w:rFonts w:cs="Verdana"/>
          <w:b/>
          <w:i/>
          <w:szCs w:val="20"/>
        </w:rPr>
        <w:t xml:space="preserve"> model vs. </w:t>
      </w:r>
      <w:proofErr w:type="spellStart"/>
      <w:r w:rsidRPr="00297E22">
        <w:rPr>
          <w:rFonts w:cs="Verdana"/>
          <w:b/>
          <w:i/>
          <w:szCs w:val="20"/>
        </w:rPr>
        <w:t>InVEST</w:t>
      </w:r>
      <w:proofErr w:type="spellEnd"/>
      <w:r w:rsidRPr="00297E22">
        <w:rPr>
          <w:rFonts w:cs="Verdana"/>
          <w:b/>
          <w:i/>
          <w:szCs w:val="20"/>
        </w:rPr>
        <w:t xml:space="preserve"> </w:t>
      </w:r>
      <w:r>
        <w:rPr>
          <w:rFonts w:cs="Verdana"/>
          <w:b/>
          <w:i/>
          <w:szCs w:val="20"/>
        </w:rPr>
        <w:t>habitat</w:t>
      </w:r>
      <w:r w:rsidRPr="00297E22">
        <w:rPr>
          <w:rFonts w:cs="Verdana"/>
          <w:b/>
          <w:i/>
          <w:szCs w:val="20"/>
        </w:rPr>
        <w:t xml:space="preserve"> risk assessment model</w:t>
      </w:r>
    </w:p>
    <w:p w:rsidR="00E44C39" w:rsidRDefault="00E44C39" w:rsidP="00E44C39">
      <w:pPr>
        <w:rPr>
          <w:rFonts w:eastAsiaTheme="minorHAnsi" w:cs="Monaco"/>
          <w:szCs w:val="22"/>
        </w:rPr>
      </w:pPr>
      <w:r w:rsidRPr="00297E22">
        <w:rPr>
          <w:rFonts w:eastAsiaTheme="minorHAnsi" w:cs="Monaco"/>
          <w:szCs w:val="22"/>
        </w:rPr>
        <w:lastRenderedPageBreak/>
        <w:t>A primary goal of conservation is the protection of biodiversity</w:t>
      </w:r>
      <w:r>
        <w:rPr>
          <w:rFonts w:eastAsiaTheme="minorHAnsi" w:cs="Monaco"/>
          <w:szCs w:val="22"/>
        </w:rPr>
        <w:t xml:space="preserve">—and biodiversity is intricately linked to the production of ecosystem services.  </w:t>
      </w:r>
      <w:r w:rsidRPr="00297E22">
        <w:rPr>
          <w:rFonts w:eastAsiaTheme="minorHAnsi" w:cs="Monaco"/>
          <w:szCs w:val="22"/>
        </w:rPr>
        <w:t xml:space="preserve">While some consider biodiversity to be an ecosystem service, </w:t>
      </w:r>
      <w:r>
        <w:rPr>
          <w:rFonts w:eastAsiaTheme="minorHAnsi" w:cs="Monaco"/>
          <w:szCs w:val="22"/>
        </w:rPr>
        <w:t xml:space="preserve">the </w:t>
      </w:r>
      <w:proofErr w:type="spellStart"/>
      <w:r>
        <w:rPr>
          <w:rFonts w:eastAsiaTheme="minorHAnsi" w:cs="Monaco"/>
          <w:szCs w:val="22"/>
        </w:rPr>
        <w:t>InVEST</w:t>
      </w:r>
      <w:proofErr w:type="spellEnd"/>
      <w:r>
        <w:rPr>
          <w:rFonts w:eastAsiaTheme="minorHAnsi" w:cs="Monaco"/>
          <w:szCs w:val="22"/>
        </w:rPr>
        <w:t xml:space="preserve"> biodiversity model (found in the terrestrial toolbox)</w:t>
      </w:r>
      <w:r w:rsidRPr="00297E22">
        <w:rPr>
          <w:rFonts w:eastAsiaTheme="minorHAnsi" w:cs="Monaco"/>
          <w:szCs w:val="22"/>
        </w:rPr>
        <w:t xml:space="preserve"> treat</w:t>
      </w:r>
      <w:r w:rsidR="005F22DA">
        <w:rPr>
          <w:rFonts w:eastAsiaTheme="minorHAnsi" w:cs="Monaco"/>
          <w:szCs w:val="22"/>
        </w:rPr>
        <w:t>s</w:t>
      </w:r>
      <w:r w:rsidRPr="00297E22">
        <w:rPr>
          <w:rFonts w:eastAsiaTheme="minorHAnsi" w:cs="Monaco"/>
          <w:szCs w:val="22"/>
        </w:rPr>
        <w:t xml:space="preserve"> it as an independent attribute of natural systems, with its own intrinsic value (</w:t>
      </w:r>
      <w:proofErr w:type="spellStart"/>
      <w:r>
        <w:rPr>
          <w:rFonts w:eastAsiaTheme="minorHAnsi" w:cs="Monaco"/>
          <w:szCs w:val="22"/>
        </w:rPr>
        <w:t>InVEST</w:t>
      </w:r>
      <w:proofErr w:type="spellEnd"/>
      <w:r>
        <w:rPr>
          <w:rFonts w:eastAsiaTheme="minorHAnsi" w:cs="Monaco"/>
          <w:szCs w:val="22"/>
        </w:rPr>
        <w:t xml:space="preserve"> does not</w:t>
      </w:r>
      <w:r w:rsidRPr="00297E22">
        <w:rPr>
          <w:rFonts w:eastAsiaTheme="minorHAnsi" w:cs="Monaco"/>
          <w:szCs w:val="22"/>
        </w:rPr>
        <w:t xml:space="preserve"> mon</w:t>
      </w:r>
      <w:r>
        <w:rPr>
          <w:rFonts w:eastAsiaTheme="minorHAnsi" w:cs="Monaco"/>
          <w:szCs w:val="22"/>
        </w:rPr>
        <w:t>etize biodiversity</w:t>
      </w:r>
      <w:r w:rsidRPr="00297E22">
        <w:rPr>
          <w:rFonts w:eastAsiaTheme="minorHAnsi" w:cs="Monaco"/>
          <w:szCs w:val="22"/>
        </w:rPr>
        <w:t xml:space="preserve">). </w:t>
      </w:r>
      <w:proofErr w:type="spellStart"/>
      <w:r>
        <w:rPr>
          <w:rFonts w:eastAsiaTheme="minorHAnsi" w:cs="Monaco"/>
          <w:szCs w:val="22"/>
        </w:rPr>
        <w:t>InVEST</w:t>
      </w:r>
      <w:proofErr w:type="spellEnd"/>
      <w:r>
        <w:rPr>
          <w:rFonts w:eastAsiaTheme="minorHAnsi" w:cs="Monaco"/>
          <w:szCs w:val="22"/>
        </w:rPr>
        <w:t xml:space="preserve"> includes a biodiversity model because n</w:t>
      </w:r>
      <w:r w:rsidRPr="00297E22">
        <w:rPr>
          <w:rFonts w:eastAsiaTheme="minorHAnsi" w:cs="Monaco"/>
          <w:szCs w:val="22"/>
        </w:rPr>
        <w:t>atural resource managers, corporations and conservation organizations are becoming increasingly interested in understanding how and where biodiversity and ecosystem services align in space and how management actions affect both.</w:t>
      </w:r>
      <w:r>
        <w:rPr>
          <w:rFonts w:eastAsiaTheme="minorHAnsi" w:cs="Monaco"/>
          <w:szCs w:val="22"/>
        </w:rPr>
        <w:t xml:space="preserve">  The biodiversity model uses habitat quality and rarity as a proxy for diversity.</w:t>
      </w:r>
    </w:p>
    <w:p w:rsidR="00E44C39" w:rsidRDefault="00E44C39" w:rsidP="00E44C39">
      <w:pPr>
        <w:rPr>
          <w:rFonts w:eastAsiaTheme="minorHAnsi" w:cs="Monaco"/>
          <w:szCs w:val="22"/>
        </w:rPr>
      </w:pPr>
    </w:p>
    <w:p w:rsidR="00E44C39" w:rsidRDefault="00E44C39" w:rsidP="00E44C39">
      <w:pPr>
        <w:rPr>
          <w:rFonts w:eastAsiaTheme="minorHAnsi" w:cs="Monaco"/>
          <w:szCs w:val="22"/>
        </w:rPr>
      </w:pPr>
      <w:r>
        <w:rPr>
          <w:rFonts w:eastAsiaTheme="minorHAnsi" w:cs="Monaco"/>
          <w:szCs w:val="22"/>
        </w:rPr>
        <w:t>When developing a similar model with marine systems in mind, differences in data availability (e.g. the rarity of an analog to land-use/land-cover maps in marine systems) and differences in thinking (e.g. the prevalence of a risk-assessment framework in fisheries science) led us to the development of the habitat risk assessment model described in this chapter.</w:t>
      </w:r>
    </w:p>
    <w:p w:rsidR="00E44C39" w:rsidRDefault="00E44C39" w:rsidP="00E44C39">
      <w:pPr>
        <w:rPr>
          <w:rFonts w:eastAsiaTheme="minorHAnsi" w:cs="Monaco"/>
          <w:szCs w:val="22"/>
        </w:rPr>
      </w:pPr>
    </w:p>
    <w:p w:rsidR="00E44C39" w:rsidRDefault="00E44C39" w:rsidP="00E44C39">
      <w:r>
        <w:rPr>
          <w:rFonts w:cs="Verdana"/>
          <w:szCs w:val="20"/>
        </w:rPr>
        <w:t xml:space="preserve">Both the biodiversity model and the HRA model can be used to identify areas on a landscape or seascape where the risk posed by human activities is highest. Indeed, while the two models are segregated into the marine and terrestrial toolboxes, they can be used across systems.  However, the modeling approaches differ in several ways. First, the exposure-consequence framework of the HRA model allows model results to be interpreted in a manner that helps users explore which types of management strategies are likely to most effectively reduce risk (Figure 1). For example, ecosystems with high exposure and high consequence may be targeted for intense active management, while effective strategies for ecosystems with low exposure to human stressors but high consequence may include close monitoring but little active intervention unless exposure increases. Second, the transparent flexible structure and explicit visualization of data uncertainty in the HRA model facilitate its use in both data-rich and data-poor situations. Finally, the biodiversity model is better suited for terrestrial applications than marine applications because it requires a land use land cover map as an input. The HRA model can be used in both marine and terrestrial systems. </w:t>
      </w:r>
    </w:p>
    <w:p w:rsidR="00E44C39" w:rsidRDefault="00E44C39" w:rsidP="00E44C39"/>
    <w:p w:rsidR="00E44C39" w:rsidRDefault="00E44C39" w:rsidP="00E44C39">
      <w:r>
        <w:rPr>
          <w:noProof/>
        </w:rPr>
        <w:lastRenderedPageBreak/>
        <w:drawing>
          <wp:inline distT="0" distB="0" distL="0" distR="0" wp14:anchorId="483D9788" wp14:editId="7DEB27ED">
            <wp:extent cx="4578395" cy="3031066"/>
            <wp:effectExtent l="25400" t="0" r="0" b="0"/>
            <wp:docPr id="4" name="Picture 11"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6"/>
                    <a:srcRect l="-463" t="8761" r="33796" b="35087"/>
                    <a:stretch>
                      <a:fillRect/>
                    </a:stretch>
                  </pic:blipFill>
                  <pic:spPr>
                    <a:xfrm>
                      <a:off x="0" y="0"/>
                      <a:ext cx="4578395" cy="3031066"/>
                    </a:xfrm>
                    <a:prstGeom prst="rect">
                      <a:avLst/>
                    </a:prstGeom>
                  </pic:spPr>
                </pic:pic>
              </a:graphicData>
            </a:graphic>
          </wp:inline>
        </w:drawing>
      </w:r>
    </w:p>
    <w:p w:rsidR="00E44C39" w:rsidRDefault="00E44C39" w:rsidP="00E44C39">
      <w:proofErr w:type="gramStart"/>
      <w:r>
        <w:t>Figure 1.</w:t>
      </w:r>
      <w:proofErr w:type="gramEnd"/>
      <w:r>
        <w:t xml:space="preserve"> Habitats with high exposure to human activities and high consequence are at high risk. Plotting exposure and consequence data in this plot allows users to visualize risk, and to assess which types of risk are more effectively mitigated by human intervention (risks driven by exogenous human factors, top right region of the risk space) and which types of risk are better addressed through monitoring and preparedness (risks driven by endogenous habitat-specific factors).   </w:t>
      </w:r>
      <w:proofErr w:type="gramStart"/>
      <w:r>
        <w:t>(Adapted from Dawson et al. 2011).</w:t>
      </w:r>
      <w:proofErr w:type="gramEnd"/>
    </w:p>
    <w:p w:rsidR="00E44C39" w:rsidRDefault="00E44C39" w:rsidP="00E44C39"/>
    <w:p w:rsidR="00E44C39" w:rsidRPr="00D35AF8" w:rsidRDefault="00E44C39" w:rsidP="00E44C39">
      <w:pPr>
        <w:rPr>
          <w:b/>
        </w:rPr>
      </w:pPr>
      <w:r w:rsidRPr="00D35AF8">
        <w:t>Risk assessment has a long history in the field of ecotoxicology, and is now emerging as a valuable method in ecosystem-based fisheries management (</w:t>
      </w:r>
      <w:proofErr w:type="spellStart"/>
      <w:r w:rsidRPr="00D35AF8">
        <w:t>Astles</w:t>
      </w:r>
      <w:proofErr w:type="spellEnd"/>
      <w:r w:rsidRPr="00D35AF8">
        <w:t xml:space="preserve"> et al. 200</w:t>
      </w:r>
      <w:r w:rsidR="001F18AB">
        <w:t>6</w:t>
      </w:r>
      <w:r w:rsidRPr="00D35AF8">
        <w:t xml:space="preserve">, </w:t>
      </w:r>
      <w:proofErr w:type="spellStart"/>
      <w:r w:rsidRPr="00D35AF8">
        <w:t>Hobday</w:t>
      </w:r>
      <w:proofErr w:type="spellEnd"/>
      <w:r w:rsidRPr="00D35AF8">
        <w:t xml:space="preserve"> et al. 2011). Risk assessment is used to determine the likelihood that a hazard will cause undesired consequences (</w:t>
      </w:r>
      <w:proofErr w:type="spellStart"/>
      <w:r w:rsidRPr="00D35AF8">
        <w:t>Burgman</w:t>
      </w:r>
      <w:proofErr w:type="spellEnd"/>
      <w:r w:rsidRPr="00D35AF8">
        <w:t xml:space="preserve"> 2005). In the context of marine ecosystem-based management, risk assessment evaluates the probability that human activities will impede the achievement of desired marine management objectives</w:t>
      </w:r>
      <w:r>
        <w:t>.</w:t>
      </w:r>
      <w:r w:rsidRPr="00D35AF8">
        <w:t xml:space="preserve"> In the </w:t>
      </w:r>
      <w:r>
        <w:t>HRA</w:t>
      </w:r>
      <w:r w:rsidRPr="00D35AF8">
        <w:t xml:space="preserve"> model, we define risk as the likelihood that human activities will reduce the quality of </w:t>
      </w:r>
      <w:proofErr w:type="spellStart"/>
      <w:r w:rsidRPr="00D35AF8">
        <w:t>nearshore</w:t>
      </w:r>
      <w:proofErr w:type="spellEnd"/>
      <w:r w:rsidRPr="00D35AF8">
        <w:t xml:space="preserve"> habitats to the point where their ability to deliver ecosystem services is impeded. Researchers have made significant progress in evaluating human impacts on mari</w:t>
      </w:r>
      <w:r>
        <w:t>ne ecosystems in recent years. H</w:t>
      </w:r>
      <w:r w:rsidRPr="00D35AF8">
        <w:t xml:space="preserve">owever many of these approaches lack generality because they are focused on the effects of a single sector (i.e. fisheries e.g. </w:t>
      </w:r>
      <w:proofErr w:type="spellStart"/>
      <w:r w:rsidRPr="00D35AF8">
        <w:t>Astles</w:t>
      </w:r>
      <w:proofErr w:type="spellEnd"/>
      <w:r w:rsidRPr="00D35AF8">
        <w:t xml:space="preserve"> et al. 200</w:t>
      </w:r>
      <w:r w:rsidR="001F18AB">
        <w:t>6</w:t>
      </w:r>
      <w:r w:rsidRPr="00D35AF8">
        <w:t xml:space="preserve">, </w:t>
      </w:r>
      <w:proofErr w:type="spellStart"/>
      <w:r w:rsidRPr="00D35AF8">
        <w:t>Hobday</w:t>
      </w:r>
      <w:proofErr w:type="spellEnd"/>
      <w:r w:rsidRPr="00D35AF8">
        <w:t xml:space="preserve"> et al. 2011), or </w:t>
      </w:r>
      <w:r>
        <w:t xml:space="preserve">have limited </w:t>
      </w:r>
      <w:r w:rsidRPr="00D35AF8">
        <w:t xml:space="preserve">transparency and flexibility because they are based on expert opinion (Halpern et al. 2008, </w:t>
      </w:r>
      <w:proofErr w:type="spellStart"/>
      <w:r w:rsidRPr="00D35AF8">
        <w:t>Teck</w:t>
      </w:r>
      <w:proofErr w:type="spellEnd"/>
      <w:r w:rsidRPr="00D35AF8">
        <w:t xml:space="preserve"> et al. 201</w:t>
      </w:r>
      <w:r w:rsidR="001F18AB">
        <w:t>0</w:t>
      </w:r>
      <w:r w:rsidRPr="00D35AF8">
        <w:t xml:space="preserve">). The </w:t>
      </w:r>
      <w:r>
        <w:t>HRA</w:t>
      </w:r>
      <w:r w:rsidRPr="00D35AF8">
        <w:t xml:space="preserve"> model in Marine </w:t>
      </w:r>
      <w:proofErr w:type="spellStart"/>
      <w:r w:rsidRPr="00D35AF8">
        <w:t>InVEST</w:t>
      </w:r>
      <w:proofErr w:type="spellEnd"/>
      <w:r w:rsidRPr="00D35AF8">
        <w:t xml:space="preserve"> builds on these approaches and allows users to evaluate the impact of a variety of human activities on key coastal habitats in a transparent, repeatable and flexible way.</w:t>
      </w:r>
      <w:r w:rsidRPr="00C61665">
        <w:rPr>
          <w:b/>
        </w:rPr>
        <w:t xml:space="preserve"> </w:t>
      </w:r>
      <w:r>
        <w:rPr>
          <w:b/>
        </w:rPr>
        <w:t xml:space="preserve"> </w:t>
      </w:r>
    </w:p>
    <w:p w:rsidR="00D35AF8" w:rsidRPr="00D35AF8" w:rsidRDefault="00D35AF8" w:rsidP="00D35AF8">
      <w:bookmarkStart w:id="1" w:name="_Toc278004917"/>
      <w:bookmarkEnd w:id="0"/>
    </w:p>
    <w:p w:rsidR="00D35AF8" w:rsidRPr="00657E83" w:rsidRDefault="002B4E2B" w:rsidP="00D35AF8">
      <w:pPr>
        <w:rPr>
          <w:b/>
          <w:i/>
          <w:sz w:val="28"/>
        </w:rPr>
      </w:pPr>
      <w:r w:rsidRPr="002B4E2B">
        <w:rPr>
          <w:b/>
          <w:i/>
          <w:sz w:val="28"/>
        </w:rPr>
        <w:t>The Model</w:t>
      </w:r>
      <w:bookmarkStart w:id="2" w:name="_Toc278004918"/>
      <w:bookmarkEnd w:id="1"/>
    </w:p>
    <w:p w:rsidR="00533F96" w:rsidRDefault="00D35AF8">
      <w:r>
        <w:t>T</w:t>
      </w:r>
      <w:r w:rsidRPr="00C61665">
        <w:t xml:space="preserve">he risk of human activities </w:t>
      </w:r>
      <w:r w:rsidR="00AB6E3F">
        <w:t xml:space="preserve">to coastal and </w:t>
      </w:r>
      <w:proofErr w:type="spellStart"/>
      <w:r w:rsidR="00AB6E3F">
        <w:t>nearshore</w:t>
      </w:r>
      <w:proofErr w:type="spellEnd"/>
      <w:r w:rsidR="00AB6E3F">
        <w:t xml:space="preserve"> habitats </w:t>
      </w:r>
      <w:r>
        <w:t>is a function of the</w:t>
      </w:r>
      <w:r w:rsidRPr="00C61665">
        <w:t xml:space="preserve"> habitat’s exposure to the activity and the consequence of exposure. To determine exposure, users provide model inputs such as base maps of habitat distribution and human activities, the timing and intensity of the activity, and the effectiveness of current management practices</w:t>
      </w:r>
      <w:r w:rsidR="00AB6E3F">
        <w:t xml:space="preserve"> in safeguarding habitats</w:t>
      </w:r>
      <w:r w:rsidRPr="00C61665">
        <w:t xml:space="preserve">.  To determine consequence, users provide model </w:t>
      </w:r>
      <w:r w:rsidRPr="00C61665">
        <w:lastRenderedPageBreak/>
        <w:t xml:space="preserve">inputs such as observed loss of habitat and the ability of habitats to recover. The model is flexible and can accommodate data-poor and data-rich situations. Data may come from a combination of peer-reviewed sources at the global scale and locally available fine-scale data sources. Model results can be updated as better information becomes available. </w:t>
      </w:r>
    </w:p>
    <w:p w:rsidR="00D35AF8" w:rsidRPr="009536B8" w:rsidRDefault="00D35AF8" w:rsidP="00D35AF8">
      <w:pPr>
        <w:pStyle w:val="Heading1"/>
        <w:rPr>
          <w:rFonts w:ascii="Times New Roman" w:hAnsi="Times New Roman" w:cs="Times New Roman"/>
          <w:b w:val="0"/>
          <w:color w:val="auto"/>
          <w:sz w:val="24"/>
          <w:szCs w:val="24"/>
        </w:rPr>
      </w:pPr>
      <w:r w:rsidRPr="00C61665">
        <w:rPr>
          <w:rFonts w:ascii="Times New Roman" w:hAnsi="Times New Roman" w:cs="Times New Roman"/>
          <w:b w:val="0"/>
          <w:color w:val="auto"/>
          <w:sz w:val="24"/>
          <w:szCs w:val="24"/>
        </w:rPr>
        <w:t xml:space="preserve">The </w:t>
      </w:r>
      <w:r w:rsidR="00E8149A">
        <w:rPr>
          <w:rFonts w:ascii="Times New Roman" w:hAnsi="Times New Roman" w:cs="Times New Roman"/>
          <w:b w:val="0"/>
          <w:color w:val="auto"/>
          <w:sz w:val="24"/>
          <w:szCs w:val="24"/>
        </w:rPr>
        <w:t>HRA</w:t>
      </w:r>
      <w:r w:rsidRPr="00C61665">
        <w:rPr>
          <w:rFonts w:ascii="Times New Roman" w:hAnsi="Times New Roman" w:cs="Times New Roman"/>
          <w:b w:val="0"/>
          <w:color w:val="auto"/>
          <w:sz w:val="24"/>
          <w:szCs w:val="24"/>
        </w:rPr>
        <w:t xml:space="preserve"> model produces maps that display the relative risk </w:t>
      </w:r>
      <w:r w:rsidR="00F12CE5">
        <w:rPr>
          <w:rFonts w:ascii="Times New Roman" w:hAnsi="Times New Roman" w:cs="Times New Roman"/>
          <w:b w:val="0"/>
          <w:color w:val="auto"/>
          <w:sz w:val="24"/>
          <w:szCs w:val="24"/>
        </w:rPr>
        <w:t>from</w:t>
      </w:r>
      <w:r w:rsidRPr="00C61665">
        <w:rPr>
          <w:rFonts w:ascii="Times New Roman" w:hAnsi="Times New Roman" w:cs="Times New Roman"/>
          <w:b w:val="0"/>
          <w:color w:val="auto"/>
          <w:sz w:val="24"/>
          <w:szCs w:val="24"/>
        </w:rPr>
        <w:t xml:space="preserve"> a variety of human activities on habitats within a study region and among alternative future scenarios. When run as part of a complete Marine </w:t>
      </w:r>
      <w:proofErr w:type="spellStart"/>
      <w:r w:rsidRPr="00C61665">
        <w:rPr>
          <w:rFonts w:ascii="Times New Roman" w:hAnsi="Times New Roman" w:cs="Times New Roman"/>
          <w:b w:val="0"/>
          <w:color w:val="auto"/>
          <w:sz w:val="24"/>
          <w:szCs w:val="24"/>
        </w:rPr>
        <w:t>InVEST</w:t>
      </w:r>
      <w:proofErr w:type="spellEnd"/>
      <w:r w:rsidRPr="00C61665">
        <w:rPr>
          <w:rFonts w:ascii="Times New Roman" w:hAnsi="Times New Roman" w:cs="Times New Roman"/>
          <w:b w:val="0"/>
          <w:color w:val="auto"/>
          <w:sz w:val="24"/>
          <w:szCs w:val="24"/>
        </w:rPr>
        <w:t xml:space="preserve"> analysis, the </w:t>
      </w:r>
      <w:r w:rsidR="00E8149A">
        <w:rPr>
          <w:rFonts w:ascii="Times New Roman" w:hAnsi="Times New Roman" w:cs="Times New Roman"/>
          <w:b w:val="0"/>
          <w:color w:val="auto"/>
          <w:sz w:val="24"/>
          <w:szCs w:val="24"/>
        </w:rPr>
        <w:t>HRA</w:t>
      </w:r>
      <w:r w:rsidRPr="00C61665">
        <w:rPr>
          <w:rFonts w:ascii="Times New Roman" w:hAnsi="Times New Roman" w:cs="Times New Roman"/>
          <w:b w:val="0"/>
          <w:color w:val="auto"/>
          <w:sz w:val="24"/>
          <w:szCs w:val="24"/>
        </w:rPr>
        <w:t xml:space="preserve"> model can be used to identify which human activities are likely to cause trade-offs in other ecosystem services. As a result, the model will help </w:t>
      </w:r>
      <w:r>
        <w:rPr>
          <w:rFonts w:ascii="Times New Roman" w:hAnsi="Times New Roman" w:cs="Times New Roman"/>
          <w:b w:val="0"/>
          <w:color w:val="auto"/>
          <w:sz w:val="24"/>
          <w:szCs w:val="24"/>
        </w:rPr>
        <w:t xml:space="preserve">managers prioritize and evaluate management strategies with regards to their effectiveness of reducing risks to </w:t>
      </w:r>
      <w:proofErr w:type="spellStart"/>
      <w:r>
        <w:rPr>
          <w:rFonts w:ascii="Times New Roman" w:hAnsi="Times New Roman" w:cs="Times New Roman"/>
          <w:b w:val="0"/>
          <w:color w:val="auto"/>
          <w:sz w:val="24"/>
          <w:szCs w:val="24"/>
        </w:rPr>
        <w:t>nearshore</w:t>
      </w:r>
      <w:proofErr w:type="spellEnd"/>
      <w:r>
        <w:rPr>
          <w:rFonts w:ascii="Times New Roman" w:hAnsi="Times New Roman" w:cs="Times New Roman"/>
          <w:b w:val="0"/>
          <w:color w:val="auto"/>
          <w:sz w:val="24"/>
          <w:szCs w:val="24"/>
        </w:rPr>
        <w:t xml:space="preserve"> habitats</w:t>
      </w:r>
      <w:r w:rsidRPr="00C61665">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and maintaining the delivery of desired ecosystem services. </w:t>
      </w:r>
    </w:p>
    <w:p w:rsidR="00533F96" w:rsidRDefault="00533F96"/>
    <w:p w:rsidR="00D35AF8" w:rsidRPr="00657E83" w:rsidRDefault="002B4E2B" w:rsidP="00D35AF8">
      <w:pPr>
        <w:pStyle w:val="Heading2"/>
        <w:rPr>
          <w:rFonts w:ascii="Times New Roman" w:hAnsi="Times New Roman"/>
          <w:i/>
          <w:color w:val="auto"/>
          <w:sz w:val="24"/>
        </w:rPr>
      </w:pPr>
      <w:r w:rsidRPr="002B4E2B">
        <w:rPr>
          <w:rFonts w:ascii="Times New Roman" w:hAnsi="Times New Roman"/>
          <w:i/>
          <w:color w:val="auto"/>
          <w:sz w:val="24"/>
        </w:rPr>
        <w:t>How it works</w:t>
      </w:r>
      <w:bookmarkEnd w:id="2"/>
    </w:p>
    <w:p w:rsidR="00D35AF8" w:rsidRPr="002E5B45" w:rsidRDefault="00D35AF8" w:rsidP="00D35AF8">
      <w:pPr>
        <w:rPr>
          <w:i/>
        </w:rPr>
      </w:pPr>
    </w:p>
    <w:p w:rsidR="00D35AF8" w:rsidRPr="002E5B45" w:rsidRDefault="00D35AF8" w:rsidP="00D35AF8">
      <w:pPr>
        <w:rPr>
          <w:iCs/>
          <w:szCs w:val="23"/>
        </w:rPr>
      </w:pPr>
      <w:r w:rsidRPr="00960284">
        <w:t xml:space="preserve">The </w:t>
      </w:r>
      <w:r w:rsidR="00E8149A">
        <w:t>HRA</w:t>
      </w:r>
      <w:r w:rsidRPr="00960284">
        <w:t xml:space="preserve"> model combines information about the exposure of habitats to each stressor wi</w:t>
      </w:r>
      <w:r>
        <w:t xml:space="preserve">th information about the consequence </w:t>
      </w:r>
      <w:r w:rsidR="00791FAD">
        <w:t xml:space="preserve">of that exposure </w:t>
      </w:r>
      <w:r>
        <w:t>for each habitat to produce maps of risk</w:t>
      </w:r>
      <w:r w:rsidRPr="00960284">
        <w:t xml:space="preserve"> to habitats and habitat quality.  Exposure depends on </w:t>
      </w:r>
      <w:r w:rsidRPr="00960284">
        <w:rPr>
          <w:iCs/>
          <w:szCs w:val="23"/>
        </w:rPr>
        <w:t>the extent of geographic overlap between habitats and human activities, the duration of time that the activity and habitat overlap, the intensity of the stressor, and the degree to which management strategies mi</w:t>
      </w:r>
      <w:r>
        <w:rPr>
          <w:iCs/>
          <w:szCs w:val="23"/>
        </w:rPr>
        <w:t>tigate impact.  The consequence</w:t>
      </w:r>
      <w:r w:rsidRPr="00960284">
        <w:rPr>
          <w:iCs/>
          <w:szCs w:val="23"/>
        </w:rPr>
        <w:t xml:space="preserve"> depends on the </w:t>
      </w:r>
      <w:r>
        <w:rPr>
          <w:iCs/>
          <w:szCs w:val="23"/>
        </w:rPr>
        <w:t xml:space="preserve">degree of habitat loss, change in habitat structure, and </w:t>
      </w:r>
      <w:r w:rsidRPr="00960284">
        <w:rPr>
          <w:iCs/>
          <w:szCs w:val="23"/>
        </w:rPr>
        <w:t>the ability of habitats to recover from these effects (i.e., through life history traits such as recruitment and regeneration rates).</w:t>
      </w:r>
      <w:r>
        <w:rPr>
          <w:iCs/>
          <w:szCs w:val="23"/>
        </w:rPr>
        <w:t xml:space="preserve"> </w:t>
      </w:r>
    </w:p>
    <w:p w:rsidR="00D35AF8" w:rsidRPr="002E5B45" w:rsidRDefault="00D35AF8" w:rsidP="00D35AF8">
      <w:pPr>
        <w:rPr>
          <w:iCs/>
          <w:szCs w:val="23"/>
        </w:rPr>
      </w:pPr>
    </w:p>
    <w:p w:rsidR="00D35AF8" w:rsidRDefault="00D35AF8" w:rsidP="00D35AF8">
      <w:r w:rsidRPr="00960284">
        <w:t xml:space="preserve">The </w:t>
      </w:r>
      <w:r>
        <w:t>risk of human activities to habitats is modeled in three</w:t>
      </w:r>
      <w:r w:rsidRPr="00960284">
        <w:t xml:space="preserve"> steps.  </w:t>
      </w:r>
    </w:p>
    <w:p w:rsidR="00D35AF8" w:rsidRDefault="00D35AF8" w:rsidP="00D35AF8"/>
    <w:p w:rsidR="00D35AF8" w:rsidRPr="00B52AB1" w:rsidRDefault="00D35AF8" w:rsidP="00D35AF8">
      <w:proofErr w:type="gramStart"/>
      <w:r w:rsidRPr="000D6DB2">
        <w:rPr>
          <w:b/>
        </w:rPr>
        <w:t>Step 1.</w:t>
      </w:r>
      <w:proofErr w:type="gramEnd"/>
      <w:r>
        <w:t xml:space="preserve"> </w:t>
      </w:r>
      <w:r w:rsidRPr="00960284">
        <w:t>The first step involves determining the likelihood of exposure o</w:t>
      </w:r>
      <w:r>
        <w:t xml:space="preserve">f the habitat to the stressor and the </w:t>
      </w:r>
      <w:r w:rsidR="009260F3">
        <w:t xml:space="preserve">consequence of this exposure. </w:t>
      </w:r>
      <w:r>
        <w:t xml:space="preserve">Exposure and consequence are </w:t>
      </w:r>
      <w:r w:rsidR="00F167AE">
        <w:t xml:space="preserve">both </w:t>
      </w:r>
      <w:r>
        <w:t xml:space="preserve">determined by assigning a score HIGH, MEDIUM or LOW to a standardized set of criteria for each attribute. Guidelines for scoring each criterion are provided in the input files and are summarized </w:t>
      </w:r>
      <w:r w:rsidR="009C2299">
        <w:t>below.</w:t>
      </w:r>
      <w:r>
        <w:t xml:space="preserve"> To ensure transparency, we recommend that scores be determined using readily available data from peer-reviewed literature or published reports. However, </w:t>
      </w:r>
      <w:r w:rsidR="002218A2">
        <w:t xml:space="preserve">you </w:t>
      </w:r>
      <w:r>
        <w:t xml:space="preserve">are free to use any data </w:t>
      </w:r>
      <w:r w:rsidR="002218A2">
        <w:t>you</w:t>
      </w:r>
      <w:r>
        <w:t xml:space="preserve"> believe to be the most accurate. For each score assigned, </w:t>
      </w:r>
      <w:r w:rsidR="00F167AE">
        <w:t xml:space="preserve">you </w:t>
      </w:r>
      <w:r>
        <w:t xml:space="preserve">have the option of indicating the quality of the data used to determine the score. This allows </w:t>
      </w:r>
      <w:r w:rsidR="00F167AE">
        <w:t xml:space="preserve">you </w:t>
      </w:r>
      <w:r>
        <w:t xml:space="preserve">to assign greater weight to criteria for which the confidence in the scoring was higher. Thus, the overall exposure </w:t>
      </w:r>
      <w:r w:rsidRPr="00B52AB1">
        <w:rPr>
          <w:i/>
        </w:rPr>
        <w:t xml:space="preserve">E </w:t>
      </w:r>
      <w:r>
        <w:t xml:space="preserve">and consequence </w:t>
      </w:r>
      <w:r w:rsidRPr="00B52AB1">
        <w:rPr>
          <w:i/>
        </w:rPr>
        <w:t xml:space="preserve">C </w:t>
      </w:r>
      <w:r>
        <w:t xml:space="preserve">scores are calculated as weighted averages of the exposure values </w:t>
      </w:r>
      <w:proofErr w:type="spellStart"/>
      <w:r w:rsidRPr="00B52AB1">
        <w:rPr>
          <w:i/>
        </w:rPr>
        <w:t>e</w:t>
      </w:r>
      <w:r w:rsidRPr="00B52AB1">
        <w:rPr>
          <w:i/>
          <w:vertAlign w:val="subscript"/>
        </w:rPr>
        <w:t>i</w:t>
      </w:r>
      <w:proofErr w:type="spellEnd"/>
      <w:r w:rsidRPr="00B52AB1">
        <w:rPr>
          <w:i/>
          <w:vertAlign w:val="subscript"/>
        </w:rPr>
        <w:t xml:space="preserve"> </w:t>
      </w:r>
      <w:r>
        <w:t xml:space="preserve">and consequence values </w:t>
      </w:r>
      <w:proofErr w:type="gramStart"/>
      <w:r w:rsidRPr="00B52AB1">
        <w:rPr>
          <w:i/>
        </w:rPr>
        <w:t>c</w:t>
      </w:r>
      <w:r w:rsidRPr="00B52AB1">
        <w:rPr>
          <w:i/>
          <w:vertAlign w:val="subscript"/>
        </w:rPr>
        <w:t>i</w:t>
      </w:r>
      <w:r>
        <w:rPr>
          <w:vertAlign w:val="subscript"/>
        </w:rPr>
        <w:t xml:space="preserve">  </w:t>
      </w:r>
      <w:r>
        <w:t>for</w:t>
      </w:r>
      <w:proofErr w:type="gramEnd"/>
      <w:r>
        <w:t xml:space="preserve"> each criterion</w:t>
      </w:r>
      <w:r w:rsidRPr="00B52AB1">
        <w:rPr>
          <w:i/>
        </w:rPr>
        <w:t xml:space="preserve"> i</w:t>
      </w:r>
      <w:r>
        <w:t xml:space="preserve"> as </w:t>
      </w:r>
    </w:p>
    <w:p w:rsidR="00D35AF8" w:rsidRDefault="00D35AF8" w:rsidP="00D35AF8"/>
    <w:p w:rsidR="00D35AF8" w:rsidRDefault="00E02B36" w:rsidP="00D35AF8">
      <w:pPr>
        <w:rPr>
          <w:position w:val="-62"/>
        </w:rPr>
      </w:pPr>
      <w:r>
        <w:rPr>
          <w:position w:val="-6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71.25pt">
            <v:imagedata r:id="rId7" o:title=""/>
          </v:shape>
        </w:pict>
      </w:r>
      <w:r w:rsidR="000A0300">
        <w:rPr>
          <w:position w:val="-62"/>
        </w:rPr>
        <w:tab/>
      </w:r>
      <w:r w:rsidR="000A0300">
        <w:rPr>
          <w:position w:val="-62"/>
        </w:rPr>
        <w:tab/>
      </w:r>
      <w:r w:rsidR="000A0300">
        <w:rPr>
          <w:position w:val="-62"/>
        </w:rPr>
        <w:tab/>
      </w:r>
      <w:r w:rsidR="000A0300">
        <w:rPr>
          <w:position w:val="-62"/>
        </w:rPr>
        <w:tab/>
      </w:r>
      <w:r w:rsidR="000A0300">
        <w:rPr>
          <w:position w:val="-62"/>
        </w:rPr>
        <w:tab/>
      </w:r>
      <w:r w:rsidR="000A0300">
        <w:rPr>
          <w:position w:val="-62"/>
        </w:rPr>
        <w:tab/>
      </w:r>
      <w:r w:rsidR="000A0300">
        <w:rPr>
          <w:position w:val="-62"/>
        </w:rPr>
        <w:tab/>
      </w:r>
      <w:r w:rsidR="000A0300">
        <w:rPr>
          <w:position w:val="-62"/>
        </w:rPr>
        <w:tab/>
      </w:r>
      <w:r w:rsidR="000A0300">
        <w:rPr>
          <w:position w:val="-62"/>
        </w:rPr>
        <w:tab/>
      </w:r>
      <w:r w:rsidR="000A0300">
        <w:rPr>
          <w:position w:val="-62"/>
        </w:rPr>
        <w:tab/>
        <w:t>(1)</w:t>
      </w:r>
    </w:p>
    <w:p w:rsidR="00D35AF8" w:rsidRDefault="00D35AF8" w:rsidP="00D35AF8">
      <w:pPr>
        <w:rPr>
          <w:position w:val="-62"/>
        </w:rPr>
      </w:pPr>
    </w:p>
    <w:p w:rsidR="00D35AF8" w:rsidRDefault="00E02B36" w:rsidP="00D35AF8">
      <w:r>
        <w:rPr>
          <w:position w:val="-62"/>
        </w:rPr>
        <w:pict>
          <v:shape id="_x0000_i1026" type="#_x0000_t75" style="width:51pt;height:71.25pt">
            <v:imagedata r:id="rId8" o:title=""/>
          </v:shape>
        </w:pict>
      </w:r>
      <w:r w:rsidR="000A0300">
        <w:rPr>
          <w:position w:val="-62"/>
        </w:rPr>
        <w:tab/>
      </w:r>
      <w:r w:rsidR="000A0300">
        <w:rPr>
          <w:position w:val="-62"/>
        </w:rPr>
        <w:tab/>
      </w:r>
      <w:r w:rsidR="000A0300">
        <w:rPr>
          <w:position w:val="-62"/>
        </w:rPr>
        <w:tab/>
      </w:r>
      <w:r w:rsidR="000A0300">
        <w:rPr>
          <w:position w:val="-62"/>
        </w:rPr>
        <w:tab/>
      </w:r>
      <w:r w:rsidR="000A0300">
        <w:rPr>
          <w:position w:val="-62"/>
        </w:rPr>
        <w:tab/>
      </w:r>
      <w:r w:rsidR="000A0300">
        <w:rPr>
          <w:position w:val="-62"/>
        </w:rPr>
        <w:tab/>
      </w:r>
      <w:r w:rsidR="000A0300">
        <w:rPr>
          <w:position w:val="-62"/>
        </w:rPr>
        <w:tab/>
      </w:r>
      <w:r w:rsidR="000A0300">
        <w:rPr>
          <w:position w:val="-62"/>
        </w:rPr>
        <w:tab/>
      </w:r>
      <w:r w:rsidR="000A0300">
        <w:rPr>
          <w:position w:val="-62"/>
        </w:rPr>
        <w:tab/>
      </w:r>
      <w:r w:rsidR="000A0300">
        <w:rPr>
          <w:position w:val="-62"/>
        </w:rPr>
        <w:tab/>
        <w:t>(2)</w:t>
      </w:r>
    </w:p>
    <w:p w:rsidR="00F167AE" w:rsidRDefault="00F167AE" w:rsidP="00D35AF8"/>
    <w:p w:rsidR="00D35AF8" w:rsidRDefault="00D35AF8" w:rsidP="00D35AF8">
      <w:proofErr w:type="gramStart"/>
      <w:r w:rsidRPr="00D33F73">
        <w:t>where</w:t>
      </w:r>
      <w:proofErr w:type="gramEnd"/>
      <w:r w:rsidRPr="00D33F73">
        <w:t xml:space="preserve"> </w:t>
      </w:r>
      <w:r w:rsidRPr="00D33F73">
        <w:rPr>
          <w:i/>
        </w:rPr>
        <w:t>d</w:t>
      </w:r>
      <w:r w:rsidRPr="00D33F73">
        <w:rPr>
          <w:i/>
          <w:vertAlign w:val="subscript"/>
        </w:rPr>
        <w:t>i</w:t>
      </w:r>
      <w:r w:rsidRPr="00D33F73">
        <w:t xml:space="preserve"> represents the data quality rating for criterion </w:t>
      </w:r>
      <w:r w:rsidRPr="00D33F73">
        <w:rPr>
          <w:i/>
        </w:rPr>
        <w:t>i</w:t>
      </w:r>
      <w:r w:rsidRPr="00D33F73">
        <w:t xml:space="preserve"> and </w:t>
      </w:r>
      <w:r w:rsidRPr="00D33F73">
        <w:rPr>
          <w:i/>
        </w:rPr>
        <w:t>N</w:t>
      </w:r>
      <w:r w:rsidRPr="00D33F73">
        <w:t xml:space="preserve"> is the number of cri</w:t>
      </w:r>
      <w:r>
        <w:t xml:space="preserve">teria evaluated for each habitat. </w:t>
      </w:r>
    </w:p>
    <w:p w:rsidR="00D35AF8" w:rsidRDefault="00D35AF8" w:rsidP="00D35AF8"/>
    <w:p w:rsidR="00D35AF8" w:rsidRDefault="00D35AF8" w:rsidP="00D35AF8">
      <w:proofErr w:type="gramStart"/>
      <w:r w:rsidRPr="000D6DB2">
        <w:rPr>
          <w:b/>
        </w:rPr>
        <w:t>Step 2.</w:t>
      </w:r>
      <w:proofErr w:type="gramEnd"/>
      <w:r>
        <w:t xml:space="preserve"> The second </w:t>
      </w:r>
      <w:r w:rsidRPr="00960284">
        <w:t xml:space="preserve">step combines the exposure and response values to produce a </w:t>
      </w:r>
      <w:r>
        <w:t xml:space="preserve">risk value for each stressor-habitat combination. Risk to habitat </w:t>
      </w:r>
      <w:r w:rsidRPr="00B52AB1">
        <w:rPr>
          <w:i/>
        </w:rPr>
        <w:t>i</w:t>
      </w:r>
      <w:r>
        <w:t xml:space="preserve"> caused by stressor</w:t>
      </w:r>
      <w:r w:rsidRPr="00B52AB1">
        <w:rPr>
          <w:i/>
        </w:rPr>
        <w:t xml:space="preserve"> j</w:t>
      </w:r>
      <w:r>
        <w:t xml:space="preserve"> is calculated as the Euclidean distance from the origin in the exposure-consequence space,</w:t>
      </w:r>
    </w:p>
    <w:p w:rsidR="00D35AF8" w:rsidRDefault="00D35AF8" w:rsidP="00D35AF8"/>
    <w:p w:rsidR="00CB151B" w:rsidRDefault="000A0300" w:rsidP="00D35AF8">
      <w:pPr>
        <w:rPr>
          <w:position w:val="-12"/>
        </w:rPr>
      </w:pPr>
      <w:r>
        <w:rPr>
          <w:position w:val="-12"/>
        </w:rPr>
        <w:tab/>
      </w:r>
    </w:p>
    <w:p w:rsidR="00D35AF8" w:rsidRDefault="00CB151B" w:rsidP="00D35AF8">
      <w:r>
        <w:rPr>
          <w:noProof/>
          <w:position w:val="-12"/>
        </w:rPr>
        <w:drawing>
          <wp:inline distT="0" distB="0" distL="0" distR="0" wp14:anchorId="4167A20A" wp14:editId="3FC025AF">
            <wp:extent cx="1532255" cy="262255"/>
            <wp:effectExtent l="2540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1532255" cy="262255"/>
                    </a:xfrm>
                    <a:prstGeom prst="rect">
                      <a:avLst/>
                    </a:prstGeom>
                    <a:noFill/>
                    <a:ln w="9525">
                      <a:noFill/>
                      <a:miter lim="800000"/>
                      <a:headEnd/>
                      <a:tailEnd/>
                    </a:ln>
                  </pic:spPr>
                </pic:pic>
              </a:graphicData>
            </a:graphic>
          </wp:inline>
        </w:drawing>
      </w:r>
      <w:r w:rsidR="000A0300">
        <w:rPr>
          <w:position w:val="-12"/>
        </w:rPr>
        <w:tab/>
      </w:r>
      <w:r w:rsidR="000A0300">
        <w:rPr>
          <w:position w:val="-12"/>
        </w:rPr>
        <w:tab/>
      </w:r>
      <w:r w:rsidR="000A0300">
        <w:rPr>
          <w:position w:val="-12"/>
        </w:rPr>
        <w:tab/>
      </w:r>
      <w:r w:rsidR="000A0300">
        <w:rPr>
          <w:position w:val="-12"/>
        </w:rPr>
        <w:tab/>
      </w:r>
      <w:r w:rsidR="000A0300">
        <w:rPr>
          <w:position w:val="-12"/>
        </w:rPr>
        <w:tab/>
      </w:r>
      <w:r w:rsidR="000A0300">
        <w:rPr>
          <w:position w:val="-12"/>
        </w:rPr>
        <w:tab/>
      </w:r>
      <w:r w:rsidR="000A0300">
        <w:rPr>
          <w:position w:val="-12"/>
        </w:rPr>
        <w:tab/>
        <w:t>(3)</w:t>
      </w:r>
    </w:p>
    <w:p w:rsidR="00D35AF8" w:rsidRDefault="00D35AF8" w:rsidP="00D35AF8"/>
    <w:p w:rsidR="00D0516B" w:rsidRDefault="00A32A0E" w:rsidP="00D35AF8">
      <w:pPr>
        <w:rPr>
          <w:b/>
          <w:highlight w:val="yellow"/>
        </w:rPr>
      </w:pPr>
      <w:r>
        <w:rPr>
          <w:b/>
          <w:noProof/>
        </w:rPr>
        <w:drawing>
          <wp:inline distT="0" distB="0" distL="0" distR="0" wp14:anchorId="4972926D" wp14:editId="4B682FFF">
            <wp:extent cx="4918356" cy="3496733"/>
            <wp:effectExtent l="25400" t="0" r="9244" b="0"/>
            <wp:docPr id="2" name="Picture 0"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0"/>
                    <a:srcRect t="5400" r="33796" b="33603"/>
                    <a:stretch>
                      <a:fillRect/>
                    </a:stretch>
                  </pic:blipFill>
                  <pic:spPr>
                    <a:xfrm>
                      <a:off x="0" y="0"/>
                      <a:ext cx="4918356" cy="3496733"/>
                    </a:xfrm>
                    <a:prstGeom prst="rect">
                      <a:avLst/>
                    </a:prstGeom>
                  </pic:spPr>
                </pic:pic>
              </a:graphicData>
            </a:graphic>
          </wp:inline>
        </w:drawing>
      </w:r>
    </w:p>
    <w:p w:rsidR="00D35AF8" w:rsidRDefault="00D35AF8" w:rsidP="00D35AF8">
      <w:proofErr w:type="gramStart"/>
      <w:r w:rsidRPr="000D6DB2">
        <w:rPr>
          <w:b/>
        </w:rPr>
        <w:t>Step 3.</w:t>
      </w:r>
      <w:proofErr w:type="gramEnd"/>
      <w:r>
        <w:t xml:space="preserve"> </w:t>
      </w:r>
      <w:r w:rsidRPr="00960284">
        <w:t xml:space="preserve">In the final step the model </w:t>
      </w:r>
      <w:r>
        <w:t>quantifies the cumulative risk</w:t>
      </w:r>
      <w:r w:rsidRPr="00960284">
        <w:t xml:space="preserve"> o</w:t>
      </w:r>
      <w:r>
        <w:t>f all stressors on the habitats. Cumulative risk for habitat</w:t>
      </w:r>
      <w:r w:rsidRPr="00B52AB1">
        <w:rPr>
          <w:i/>
        </w:rPr>
        <w:t xml:space="preserve"> i</w:t>
      </w:r>
      <w:r>
        <w:t xml:space="preserve"> is the sum of all risk scores for each habitat,</w:t>
      </w:r>
    </w:p>
    <w:p w:rsidR="00D35AF8" w:rsidRDefault="00D35AF8" w:rsidP="00D35AF8"/>
    <w:p w:rsidR="00D35AF8" w:rsidRDefault="00E02B36" w:rsidP="00D35AF8">
      <w:r>
        <w:rPr>
          <w:position w:val="-30"/>
        </w:rPr>
        <w:pict>
          <v:shape id="_x0000_i1027" type="#_x0000_t75" style="width:51.75pt;height:36pt">
            <v:imagedata r:id="rId11" o:title=""/>
          </v:shape>
        </w:pict>
      </w:r>
      <w:r w:rsidR="000A0300">
        <w:rPr>
          <w:position w:val="-30"/>
        </w:rPr>
        <w:tab/>
      </w:r>
      <w:r w:rsidR="000A0300">
        <w:rPr>
          <w:position w:val="-30"/>
        </w:rPr>
        <w:tab/>
      </w:r>
      <w:r w:rsidR="000A0300">
        <w:rPr>
          <w:position w:val="-30"/>
        </w:rPr>
        <w:tab/>
      </w:r>
      <w:r w:rsidR="000A0300">
        <w:rPr>
          <w:position w:val="-30"/>
        </w:rPr>
        <w:tab/>
      </w:r>
      <w:r w:rsidR="000A0300">
        <w:rPr>
          <w:position w:val="-30"/>
        </w:rPr>
        <w:tab/>
      </w:r>
      <w:r w:rsidR="000A0300">
        <w:rPr>
          <w:position w:val="-30"/>
        </w:rPr>
        <w:tab/>
      </w:r>
      <w:r w:rsidR="000A0300">
        <w:rPr>
          <w:position w:val="-30"/>
        </w:rPr>
        <w:tab/>
      </w:r>
      <w:r w:rsidR="000A0300">
        <w:rPr>
          <w:position w:val="-30"/>
        </w:rPr>
        <w:tab/>
      </w:r>
      <w:r w:rsidR="000A0300">
        <w:rPr>
          <w:position w:val="-30"/>
        </w:rPr>
        <w:tab/>
      </w:r>
      <w:r w:rsidR="000A0300">
        <w:rPr>
          <w:position w:val="-30"/>
        </w:rPr>
        <w:tab/>
        <w:t>(4)</w:t>
      </w:r>
    </w:p>
    <w:p w:rsidR="00D35AF8" w:rsidRDefault="00D35AF8" w:rsidP="00D35AF8"/>
    <w:p w:rsidR="00D35AF8" w:rsidRPr="00F167AE" w:rsidRDefault="002B4E2B" w:rsidP="00D35AF8">
      <w:r w:rsidRPr="002B4E2B">
        <w:lastRenderedPageBreak/>
        <w:t>Below we explain the exposure and consequence criteria in more detail.</w:t>
      </w:r>
    </w:p>
    <w:p w:rsidR="00D35AF8" w:rsidRPr="002E5B45" w:rsidRDefault="00D35AF8" w:rsidP="00D35AF8"/>
    <w:p w:rsidR="00D35AF8" w:rsidRPr="002E5B45" w:rsidRDefault="00D35AF8" w:rsidP="00D35AF8">
      <w:pPr>
        <w:rPr>
          <w:b/>
        </w:rPr>
      </w:pPr>
      <w:r w:rsidRPr="00960284">
        <w:rPr>
          <w:b/>
        </w:rPr>
        <w:t>1.  Exposure of habitats to stressors</w:t>
      </w:r>
    </w:p>
    <w:p w:rsidR="00D35AF8" w:rsidRPr="002E5B45" w:rsidRDefault="00D35AF8" w:rsidP="00D35AF8"/>
    <w:p w:rsidR="00D35AF8" w:rsidRPr="002E5B45" w:rsidRDefault="00D35AF8" w:rsidP="00D35AF8">
      <w:r w:rsidRPr="00960284">
        <w:t>The risk of a habitat being affected by a stressor depends in part on the exposure of</w:t>
      </w:r>
      <w:r>
        <w:t xml:space="preserve"> the habitat to that stressor. </w:t>
      </w:r>
      <w:r w:rsidR="00EF1C86">
        <w:t xml:space="preserve">Stressors may impact habitats directly and indirectly. </w:t>
      </w:r>
      <w:r w:rsidR="00102A68">
        <w:t>Because indirect impacts are poorly understood and difficult to trace, w</w:t>
      </w:r>
      <w:r w:rsidR="00EF1C86">
        <w:t xml:space="preserve">e only model </w:t>
      </w:r>
      <w:r w:rsidR="00102A68">
        <w:t xml:space="preserve">the </w:t>
      </w:r>
      <w:r w:rsidR="00EF1C86">
        <w:t xml:space="preserve">risk of stressors that directly impact habitat by overlapping in space. </w:t>
      </w:r>
      <w:r w:rsidRPr="00960284">
        <w:t xml:space="preserve">Other important considerations include </w:t>
      </w:r>
      <w:r>
        <w:t xml:space="preserve">the duration of spatial </w:t>
      </w:r>
      <w:r w:rsidRPr="00960284">
        <w:t>overlap, intensity of the stressor, and whether management strategies reduce or enhance exposure.</w:t>
      </w:r>
    </w:p>
    <w:p w:rsidR="00D35AF8" w:rsidRPr="002E5B45" w:rsidRDefault="00D35AF8" w:rsidP="00D35AF8"/>
    <w:p w:rsidR="00D35AF8" w:rsidRPr="002E5B45" w:rsidRDefault="00D35AF8" w:rsidP="00D35AF8">
      <w:r w:rsidRPr="00960284">
        <w:rPr>
          <w:b/>
        </w:rPr>
        <w:t>a. Spatial overlap</w:t>
      </w:r>
      <w:r w:rsidR="001D2C1B">
        <w:rPr>
          <w:b/>
        </w:rPr>
        <w:t xml:space="preserve"> rating</w:t>
      </w:r>
      <w:r w:rsidRPr="00960284">
        <w:rPr>
          <w:b/>
        </w:rPr>
        <w:t>.</w:t>
      </w:r>
      <w:r w:rsidRPr="00960284">
        <w:t xml:space="preserve">  To assess spatial overlap in the study area, the model uses maps of the distribution of habitats and stressors.  Habitat types can be biotic, such as eelgrass or kelp, or abiotic, such as hard or soft bottom. The user defines the detail of habitat classification</w:t>
      </w:r>
      <w:r>
        <w:t>. For example, habitats can</w:t>
      </w:r>
      <w:r w:rsidRPr="00960284">
        <w:t xml:space="preserve"> be defined as biotic or abiotic, by taxa (e.g., coral, </w:t>
      </w:r>
      <w:proofErr w:type="spellStart"/>
      <w:r w:rsidRPr="00960284">
        <w:t>seagrass</w:t>
      </w:r>
      <w:proofErr w:type="spellEnd"/>
      <w:r w:rsidRPr="00960284">
        <w:t xml:space="preserve">, mangrove), by species (e.g., red, black mangroves), or in whatever scheme the user desires.  However, the user should keep in mind that in </w:t>
      </w:r>
      <w:r>
        <w:t xml:space="preserve">order for such detail to </w:t>
      </w:r>
      <w:r w:rsidRPr="00960284">
        <w:t xml:space="preserve">be useful and change the outcome of the model, these habitat classifications should correspond with differences between habitats in their response to the stressors.  </w:t>
      </w:r>
    </w:p>
    <w:p w:rsidR="00D35AF8" w:rsidRPr="002E5B45" w:rsidRDefault="00D35AF8" w:rsidP="00D35AF8"/>
    <w:p w:rsidR="00D35AF8" w:rsidRDefault="007F4D9E" w:rsidP="00D35AF8">
      <w:r>
        <w:t>Also, the</w:t>
      </w:r>
      <w:r w:rsidR="00D35AF8" w:rsidRPr="00960284">
        <w:t xml:space="preserve"> model requires the user to input </w:t>
      </w:r>
      <w:r w:rsidR="00D35AF8">
        <w:t>maps of the distribution of each stressor</w:t>
      </w:r>
      <w:r>
        <w:t xml:space="preserve"> and</w:t>
      </w:r>
      <w:r w:rsidR="00D35AF8" w:rsidRPr="00960284">
        <w:t xml:space="preserve"> the distance </w:t>
      </w:r>
      <w:r w:rsidR="00D35AF8">
        <w:t xml:space="preserve">over which the stressor spreads. </w:t>
      </w:r>
      <w:r w:rsidR="00D35AF8" w:rsidRPr="00960284">
        <w:t>For some stressors, such as over</w:t>
      </w:r>
      <w:r w:rsidR="009B0EC4">
        <w:t>-</w:t>
      </w:r>
      <w:r w:rsidR="00D35AF8" w:rsidRPr="00960284">
        <w:t>water structures that shade eelgrass beds, this distance will be small.  For other stressors, such a</w:t>
      </w:r>
      <w:r w:rsidR="00D35AF8">
        <w:t>s</w:t>
      </w:r>
      <w:r w:rsidR="00D35AF8" w:rsidRPr="00960284">
        <w:t xml:space="preserve"> finfish aquaculture pens where nutrients spread </w:t>
      </w:r>
      <w:r w:rsidR="00F62402" w:rsidRPr="00F62402">
        <w:t>300-500m</w:t>
      </w:r>
      <w:r w:rsidR="002218A2">
        <w:t xml:space="preserve"> </w:t>
      </w:r>
      <w:r w:rsidR="00D35AF8" w:rsidRPr="00960284">
        <w:t xml:space="preserve">this </w:t>
      </w:r>
      <w:r w:rsidR="009B0EC4">
        <w:t>di</w:t>
      </w:r>
      <w:r w:rsidR="00D35AF8" w:rsidRPr="00960284">
        <w:t>stance may</w:t>
      </w:r>
      <w:r w:rsidR="00D35AF8">
        <w:t xml:space="preserve"> </w:t>
      </w:r>
      <w:r w:rsidR="00D35AF8" w:rsidRPr="00960284">
        <w:t>be large</w:t>
      </w:r>
      <w:r w:rsidR="00D35AF8">
        <w:t xml:space="preserve">. The model uses the maps of habitat and stressor distributions to calculate the percentage of </w:t>
      </w:r>
      <w:r w:rsidR="009B0EC4">
        <w:t xml:space="preserve">each </w:t>
      </w:r>
      <w:r w:rsidR="00D35AF8">
        <w:t>habitat</w:t>
      </w:r>
      <w:r w:rsidR="009B0EC4">
        <w:t xml:space="preserve"> type</w:t>
      </w:r>
      <w:r w:rsidR="00D35AF8">
        <w:t xml:space="preserve"> that overlaps with each stressor</w:t>
      </w:r>
      <w:r w:rsidR="009B0EC4">
        <w:t xml:space="preserve"> and its footprint</w:t>
      </w:r>
      <w:r w:rsidR="00D35AF8">
        <w:t>.</w:t>
      </w:r>
    </w:p>
    <w:p w:rsidR="00D35AF8" w:rsidRDefault="00D35AF8" w:rsidP="00D35AF8"/>
    <w:p w:rsidR="008E4763" w:rsidRDefault="008E4763" w:rsidP="00D35AF8">
      <w:r>
        <w:t>We use the following categories to classify HIGH, MEDIUM and LOW spatial overlap:</w:t>
      </w:r>
    </w:p>
    <w:tbl>
      <w:tblPr>
        <w:tblW w:w="0" w:type="auto"/>
        <w:tblLook w:val="00BF" w:firstRow="1" w:lastRow="0" w:firstColumn="1" w:lastColumn="0" w:noHBand="0" w:noVBand="0"/>
      </w:tblPr>
      <w:tblGrid>
        <w:gridCol w:w="1809"/>
        <w:gridCol w:w="1819"/>
        <w:gridCol w:w="1819"/>
        <w:gridCol w:w="1590"/>
        <w:gridCol w:w="1590"/>
      </w:tblGrid>
      <w:tr w:rsidR="00D35AF8">
        <w:tc>
          <w:tcPr>
            <w:tcW w:w="1809" w:type="dxa"/>
          </w:tcPr>
          <w:p w:rsidR="00D35AF8" w:rsidRDefault="00D35AF8" w:rsidP="00242698"/>
        </w:tc>
        <w:tc>
          <w:tcPr>
            <w:tcW w:w="1819" w:type="dxa"/>
          </w:tcPr>
          <w:p w:rsidR="00D35AF8" w:rsidRDefault="00D35AF8" w:rsidP="00242698">
            <w:r>
              <w:t>High (3)</w:t>
            </w:r>
          </w:p>
        </w:tc>
        <w:tc>
          <w:tcPr>
            <w:tcW w:w="1819" w:type="dxa"/>
          </w:tcPr>
          <w:p w:rsidR="00D35AF8" w:rsidRDefault="00D35AF8" w:rsidP="00242698">
            <w:r>
              <w:t xml:space="preserve">Medium (2) </w:t>
            </w:r>
          </w:p>
        </w:tc>
        <w:tc>
          <w:tcPr>
            <w:tcW w:w="1590" w:type="dxa"/>
          </w:tcPr>
          <w:p w:rsidR="00D35AF8" w:rsidRDefault="00D35AF8" w:rsidP="00242698">
            <w:r>
              <w:t>Low (1)</w:t>
            </w:r>
          </w:p>
        </w:tc>
        <w:tc>
          <w:tcPr>
            <w:tcW w:w="1590" w:type="dxa"/>
          </w:tcPr>
          <w:p w:rsidR="00D35AF8" w:rsidRDefault="00D35AF8" w:rsidP="00242698">
            <w:r>
              <w:t>No score</w:t>
            </w:r>
          </w:p>
        </w:tc>
      </w:tr>
      <w:tr w:rsidR="00D35AF8">
        <w:tc>
          <w:tcPr>
            <w:tcW w:w="1809" w:type="dxa"/>
          </w:tcPr>
          <w:p w:rsidR="00D35AF8" w:rsidRDefault="00D35AF8" w:rsidP="00242698">
            <w:r>
              <w:t>Spatial Overlap</w:t>
            </w:r>
          </w:p>
        </w:tc>
        <w:tc>
          <w:tcPr>
            <w:tcW w:w="1819" w:type="dxa"/>
          </w:tcPr>
          <w:p w:rsidR="00D35AF8" w:rsidRDefault="00D35AF8" w:rsidP="00242698">
            <w:r>
              <w:t xml:space="preserve">&gt;30% of habitat </w:t>
            </w:r>
            <w:r w:rsidR="008E4763">
              <w:t xml:space="preserve">type </w:t>
            </w:r>
            <w:r>
              <w:t>overlaps with stressor</w:t>
            </w:r>
          </w:p>
        </w:tc>
        <w:tc>
          <w:tcPr>
            <w:tcW w:w="1819" w:type="dxa"/>
          </w:tcPr>
          <w:p w:rsidR="00D35AF8" w:rsidRDefault="00D35AF8" w:rsidP="00242698">
            <w:r>
              <w:t xml:space="preserve">10%-30% of habitat </w:t>
            </w:r>
            <w:r w:rsidR="008E4763">
              <w:t xml:space="preserve">type </w:t>
            </w:r>
            <w:r>
              <w:t xml:space="preserve">overlaps with stressor </w:t>
            </w:r>
          </w:p>
        </w:tc>
        <w:tc>
          <w:tcPr>
            <w:tcW w:w="1590" w:type="dxa"/>
          </w:tcPr>
          <w:p w:rsidR="00D35AF8" w:rsidRDefault="00D35AF8" w:rsidP="00242698">
            <w:r>
              <w:t xml:space="preserve">0-10% of habitat </w:t>
            </w:r>
            <w:r w:rsidR="008E4763">
              <w:t xml:space="preserve">type </w:t>
            </w:r>
            <w:r>
              <w:t>overlaps with stressor</w:t>
            </w:r>
          </w:p>
        </w:tc>
        <w:tc>
          <w:tcPr>
            <w:tcW w:w="1590" w:type="dxa"/>
          </w:tcPr>
          <w:p w:rsidR="00D35AF8" w:rsidRDefault="00D35AF8" w:rsidP="00242698">
            <w:r>
              <w:t>N/A</w:t>
            </w:r>
          </w:p>
        </w:tc>
      </w:tr>
    </w:tbl>
    <w:p w:rsidR="00D35AF8" w:rsidRDefault="00D35AF8" w:rsidP="00D35AF8"/>
    <w:p w:rsidR="00D35AF8" w:rsidRDefault="00D35AF8" w:rsidP="00D35AF8"/>
    <w:p w:rsidR="00D35AF8" w:rsidRDefault="00D35AF8" w:rsidP="00D35AF8">
      <w:r w:rsidRPr="00960284">
        <w:rPr>
          <w:b/>
        </w:rPr>
        <w:t xml:space="preserve">b. </w:t>
      </w:r>
      <w:r w:rsidR="000442DA">
        <w:rPr>
          <w:b/>
        </w:rPr>
        <w:t>Overlap time</w:t>
      </w:r>
      <w:r w:rsidR="001D2C1B">
        <w:rPr>
          <w:b/>
        </w:rPr>
        <w:t xml:space="preserve"> rating</w:t>
      </w:r>
      <w:r w:rsidRPr="00960284">
        <w:rPr>
          <w:b/>
        </w:rPr>
        <w:t xml:space="preserve">.  </w:t>
      </w:r>
      <w:r w:rsidRPr="00960284">
        <w:t>T</w:t>
      </w:r>
      <w:r w:rsidR="008E4763">
        <w:t>emporal overlap is t</w:t>
      </w:r>
      <w:r w:rsidRPr="00960284">
        <w:t xml:space="preserve">he duration of time that the </w:t>
      </w:r>
      <w:r>
        <w:t>habitat</w:t>
      </w:r>
      <w:r w:rsidRPr="00960284">
        <w:t xml:space="preserve"> and the stressor experience </w:t>
      </w:r>
      <w:r>
        <w:t xml:space="preserve">spatial </w:t>
      </w:r>
      <w:r w:rsidRPr="00960284">
        <w:t>overlap.</w:t>
      </w:r>
      <w:r>
        <w:t xml:space="preserve"> Some stressors</w:t>
      </w:r>
      <w:r w:rsidR="008E4763">
        <w:t xml:space="preserve">, such as permanent overwater structures, </w:t>
      </w:r>
      <w:r>
        <w:t>are present year-round</w:t>
      </w:r>
      <w:r w:rsidR="008E4763">
        <w:t xml:space="preserve">; </w:t>
      </w:r>
      <w:r>
        <w:t>others are seasonal, such as certain fishing practices. Similarly, some habitats</w:t>
      </w:r>
      <w:r w:rsidR="008E4763">
        <w:t xml:space="preserve"> (e.g. mangroves)</w:t>
      </w:r>
      <w:r>
        <w:t xml:space="preserve"> are present year round, while others </w:t>
      </w:r>
      <w:r w:rsidR="008E4763">
        <w:t xml:space="preserve">are more ephemeral (e.g. some </w:t>
      </w:r>
      <w:proofErr w:type="spellStart"/>
      <w:r w:rsidR="008E4763">
        <w:t>seagrasses</w:t>
      </w:r>
      <w:proofErr w:type="spellEnd"/>
      <w:r w:rsidR="008E4763">
        <w:t>)</w:t>
      </w:r>
      <w:r>
        <w:t xml:space="preserve">. </w:t>
      </w:r>
    </w:p>
    <w:p w:rsidR="00D35AF8" w:rsidRDefault="00D35AF8" w:rsidP="00D35AF8"/>
    <w:p w:rsidR="008E4763" w:rsidRDefault="008E4763" w:rsidP="008E4763">
      <w:r>
        <w:t>We use the following categories to classify HIGH, MEDIUM and LOW temporal overlap:</w:t>
      </w:r>
    </w:p>
    <w:p w:rsidR="008E4763" w:rsidRDefault="008E4763" w:rsidP="00D35AF8"/>
    <w:tbl>
      <w:tblPr>
        <w:tblW w:w="0" w:type="auto"/>
        <w:tblLook w:val="00BF" w:firstRow="1" w:lastRow="0" w:firstColumn="1" w:lastColumn="0" w:noHBand="0" w:noVBand="0"/>
      </w:tblPr>
      <w:tblGrid>
        <w:gridCol w:w="1809"/>
        <w:gridCol w:w="1819"/>
        <w:gridCol w:w="1819"/>
        <w:gridCol w:w="1590"/>
        <w:gridCol w:w="1590"/>
      </w:tblGrid>
      <w:tr w:rsidR="00D35AF8">
        <w:tc>
          <w:tcPr>
            <w:tcW w:w="1809" w:type="dxa"/>
          </w:tcPr>
          <w:p w:rsidR="00D35AF8" w:rsidRDefault="00D35AF8" w:rsidP="00242698"/>
        </w:tc>
        <w:tc>
          <w:tcPr>
            <w:tcW w:w="1819" w:type="dxa"/>
          </w:tcPr>
          <w:p w:rsidR="00D35AF8" w:rsidRDefault="00D35AF8" w:rsidP="00242698">
            <w:r>
              <w:t>High (3)</w:t>
            </w:r>
          </w:p>
        </w:tc>
        <w:tc>
          <w:tcPr>
            <w:tcW w:w="1819" w:type="dxa"/>
          </w:tcPr>
          <w:p w:rsidR="00D35AF8" w:rsidRDefault="00D35AF8" w:rsidP="00242698">
            <w:r>
              <w:t xml:space="preserve">Medium (2) </w:t>
            </w:r>
          </w:p>
        </w:tc>
        <w:tc>
          <w:tcPr>
            <w:tcW w:w="1590" w:type="dxa"/>
          </w:tcPr>
          <w:p w:rsidR="00D35AF8" w:rsidRDefault="00D35AF8" w:rsidP="00242698">
            <w:r>
              <w:t>Low (1)</w:t>
            </w:r>
          </w:p>
        </w:tc>
        <w:tc>
          <w:tcPr>
            <w:tcW w:w="1590" w:type="dxa"/>
          </w:tcPr>
          <w:p w:rsidR="00D35AF8" w:rsidRDefault="00D35AF8" w:rsidP="00242698">
            <w:r>
              <w:t>No score</w:t>
            </w:r>
          </w:p>
        </w:tc>
      </w:tr>
      <w:tr w:rsidR="00D35AF8">
        <w:tc>
          <w:tcPr>
            <w:tcW w:w="1809" w:type="dxa"/>
          </w:tcPr>
          <w:p w:rsidR="00D35AF8" w:rsidRDefault="00D35AF8" w:rsidP="00242698">
            <w:r>
              <w:t xml:space="preserve">Temporal </w:t>
            </w:r>
            <w:r>
              <w:lastRenderedPageBreak/>
              <w:t>overlap</w:t>
            </w:r>
          </w:p>
        </w:tc>
        <w:tc>
          <w:tcPr>
            <w:tcW w:w="1819" w:type="dxa"/>
          </w:tcPr>
          <w:p w:rsidR="00D35AF8" w:rsidRDefault="00D35AF8" w:rsidP="00242698">
            <w:r>
              <w:lastRenderedPageBreak/>
              <w:t xml:space="preserve">Habitat and </w:t>
            </w:r>
            <w:r>
              <w:lastRenderedPageBreak/>
              <w:t>stressor co-occur for 8-12 months of the year</w:t>
            </w:r>
          </w:p>
        </w:tc>
        <w:tc>
          <w:tcPr>
            <w:tcW w:w="1819" w:type="dxa"/>
          </w:tcPr>
          <w:p w:rsidR="00D35AF8" w:rsidRDefault="00D35AF8" w:rsidP="00242698">
            <w:r>
              <w:lastRenderedPageBreak/>
              <w:t xml:space="preserve">Habitat and </w:t>
            </w:r>
            <w:r>
              <w:lastRenderedPageBreak/>
              <w:t>stressor co-occur for 4-8 months of the year</w:t>
            </w:r>
          </w:p>
        </w:tc>
        <w:tc>
          <w:tcPr>
            <w:tcW w:w="1590" w:type="dxa"/>
          </w:tcPr>
          <w:p w:rsidR="00D35AF8" w:rsidRDefault="00D35AF8" w:rsidP="00242698">
            <w:r>
              <w:lastRenderedPageBreak/>
              <w:t xml:space="preserve">Habitat and </w:t>
            </w:r>
            <w:r>
              <w:lastRenderedPageBreak/>
              <w:t>stressor co-occur for 0-4 months of the year</w:t>
            </w:r>
          </w:p>
        </w:tc>
        <w:tc>
          <w:tcPr>
            <w:tcW w:w="1590" w:type="dxa"/>
          </w:tcPr>
          <w:p w:rsidR="00D35AF8" w:rsidRDefault="00D35AF8" w:rsidP="00242698">
            <w:r>
              <w:lastRenderedPageBreak/>
              <w:t>N/A</w:t>
            </w:r>
          </w:p>
        </w:tc>
      </w:tr>
    </w:tbl>
    <w:p w:rsidR="00D35AF8" w:rsidRPr="002E5B45" w:rsidRDefault="00D35AF8" w:rsidP="00D35AF8"/>
    <w:p w:rsidR="00D35AF8" w:rsidRPr="002E5B45" w:rsidRDefault="00D35AF8" w:rsidP="00D35AF8">
      <w:pPr>
        <w:rPr>
          <w:b/>
        </w:rPr>
      </w:pPr>
    </w:p>
    <w:p w:rsidR="00D35AF8" w:rsidRPr="001D29B0" w:rsidRDefault="00D35AF8" w:rsidP="00D35AF8">
      <w:r w:rsidRPr="00960284">
        <w:rPr>
          <w:b/>
        </w:rPr>
        <w:t>c. Intensity</w:t>
      </w:r>
      <w:r w:rsidR="001D2C1B">
        <w:rPr>
          <w:b/>
        </w:rPr>
        <w:t xml:space="preserve"> rating</w:t>
      </w:r>
      <w:r w:rsidRPr="00960284">
        <w:rPr>
          <w:b/>
        </w:rPr>
        <w:t>.</w:t>
      </w:r>
      <w:r>
        <w:t xml:space="preserve"> This criterion refers to the intensity of the stressor on a scale </w:t>
      </w:r>
      <w:r w:rsidR="00467C0B">
        <w:t xml:space="preserve">that </w:t>
      </w:r>
      <w:r w:rsidR="009F1669">
        <w:t xml:space="preserve">is specific to each stressor and </w:t>
      </w:r>
      <w:r w:rsidR="00467C0B">
        <w:t xml:space="preserve">is relative </w:t>
      </w:r>
      <w:r>
        <w:t>within each study region. For example, the intensity of nutrient</w:t>
      </w:r>
      <w:r w:rsidR="00467C0B">
        <w:t>-</w:t>
      </w:r>
      <w:r>
        <w:t xml:space="preserve">loading stress associated with </w:t>
      </w:r>
      <w:proofErr w:type="spellStart"/>
      <w:r>
        <w:t>netpen</w:t>
      </w:r>
      <w:proofErr w:type="spellEnd"/>
      <w:r>
        <w:t xml:space="preserve"> salmon aquaculture is related to the number of salmon in the farm, and how much waste is released into the surrounding environment. Similarly, the intensity of destructive shellfish harvesting is related to the number of harvesters and the harvest practices. </w:t>
      </w:r>
    </w:p>
    <w:p w:rsidR="00D35AF8" w:rsidRDefault="00D35AF8" w:rsidP="00D35AF8">
      <w:pPr>
        <w:rPr>
          <w:b/>
        </w:rPr>
      </w:pPr>
    </w:p>
    <w:p w:rsidR="00363EF9" w:rsidRDefault="00363EF9" w:rsidP="00363EF9">
      <w:r>
        <w:t>We use the following categories to classify HIGH, MEDIUM and LOW intensity:</w:t>
      </w:r>
    </w:p>
    <w:p w:rsidR="00363EF9" w:rsidRDefault="00363EF9" w:rsidP="00D35AF8">
      <w:pPr>
        <w:rPr>
          <w:b/>
        </w:rPr>
      </w:pPr>
    </w:p>
    <w:tbl>
      <w:tblPr>
        <w:tblW w:w="0" w:type="auto"/>
        <w:tblLook w:val="00BF" w:firstRow="1" w:lastRow="0" w:firstColumn="1" w:lastColumn="0" w:noHBand="0" w:noVBand="0"/>
      </w:tblPr>
      <w:tblGrid>
        <w:gridCol w:w="1809"/>
        <w:gridCol w:w="1819"/>
        <w:gridCol w:w="1819"/>
        <w:gridCol w:w="1590"/>
        <w:gridCol w:w="1590"/>
      </w:tblGrid>
      <w:tr w:rsidR="00D35AF8">
        <w:tc>
          <w:tcPr>
            <w:tcW w:w="1809" w:type="dxa"/>
          </w:tcPr>
          <w:p w:rsidR="00D35AF8" w:rsidRDefault="00D35AF8" w:rsidP="00242698"/>
        </w:tc>
        <w:tc>
          <w:tcPr>
            <w:tcW w:w="1819" w:type="dxa"/>
          </w:tcPr>
          <w:p w:rsidR="00D35AF8" w:rsidRDefault="00D35AF8" w:rsidP="00242698">
            <w:r>
              <w:t>High (3)</w:t>
            </w:r>
          </w:p>
        </w:tc>
        <w:tc>
          <w:tcPr>
            <w:tcW w:w="1819" w:type="dxa"/>
          </w:tcPr>
          <w:p w:rsidR="00D35AF8" w:rsidRDefault="00D35AF8" w:rsidP="00242698">
            <w:r>
              <w:t xml:space="preserve">Medium (2) </w:t>
            </w:r>
          </w:p>
        </w:tc>
        <w:tc>
          <w:tcPr>
            <w:tcW w:w="1590" w:type="dxa"/>
          </w:tcPr>
          <w:p w:rsidR="00D35AF8" w:rsidRDefault="00D35AF8" w:rsidP="00242698">
            <w:r>
              <w:t>Low (1)</w:t>
            </w:r>
          </w:p>
        </w:tc>
        <w:tc>
          <w:tcPr>
            <w:tcW w:w="1590" w:type="dxa"/>
          </w:tcPr>
          <w:p w:rsidR="00D35AF8" w:rsidRDefault="00D35AF8" w:rsidP="00242698">
            <w:r>
              <w:t>No score</w:t>
            </w:r>
          </w:p>
        </w:tc>
      </w:tr>
      <w:tr w:rsidR="00D35AF8">
        <w:tc>
          <w:tcPr>
            <w:tcW w:w="1809" w:type="dxa"/>
          </w:tcPr>
          <w:p w:rsidR="00D35AF8" w:rsidRDefault="00D35AF8" w:rsidP="00242698">
            <w:r>
              <w:t>Intensity</w:t>
            </w:r>
          </w:p>
        </w:tc>
        <w:tc>
          <w:tcPr>
            <w:tcW w:w="1819" w:type="dxa"/>
          </w:tcPr>
          <w:p w:rsidR="00D35AF8" w:rsidRDefault="00D35AF8" w:rsidP="00242698">
            <w:r>
              <w:t>High intensity</w:t>
            </w:r>
          </w:p>
        </w:tc>
        <w:tc>
          <w:tcPr>
            <w:tcW w:w="1819" w:type="dxa"/>
          </w:tcPr>
          <w:p w:rsidR="00D35AF8" w:rsidRDefault="00D35AF8" w:rsidP="00242698">
            <w:r>
              <w:t xml:space="preserve">Medium intensity </w:t>
            </w:r>
          </w:p>
        </w:tc>
        <w:tc>
          <w:tcPr>
            <w:tcW w:w="1590" w:type="dxa"/>
          </w:tcPr>
          <w:p w:rsidR="00D35AF8" w:rsidRDefault="00D35AF8" w:rsidP="00242698">
            <w:r>
              <w:t>Low intensity</w:t>
            </w:r>
          </w:p>
        </w:tc>
        <w:tc>
          <w:tcPr>
            <w:tcW w:w="1590" w:type="dxa"/>
          </w:tcPr>
          <w:p w:rsidR="00D35AF8" w:rsidRDefault="00D35AF8" w:rsidP="00242698">
            <w:r>
              <w:t>N/A</w:t>
            </w:r>
          </w:p>
        </w:tc>
      </w:tr>
    </w:tbl>
    <w:p w:rsidR="00D35AF8" w:rsidRPr="002E5B45" w:rsidRDefault="00D35AF8" w:rsidP="00D35AF8">
      <w:pPr>
        <w:rPr>
          <w:b/>
        </w:rPr>
      </w:pPr>
    </w:p>
    <w:p w:rsidR="00D35AF8" w:rsidRDefault="00D35AF8" w:rsidP="00D35AF8">
      <w:r w:rsidRPr="00960284">
        <w:rPr>
          <w:b/>
        </w:rPr>
        <w:t>d. Management strategy effectiveness</w:t>
      </w:r>
      <w:r w:rsidR="001D2C1B">
        <w:rPr>
          <w:b/>
        </w:rPr>
        <w:t xml:space="preserve"> rating</w:t>
      </w:r>
      <w:r w:rsidRPr="00960284">
        <w:rPr>
          <w:b/>
        </w:rPr>
        <w:t>.</w:t>
      </w:r>
      <w:r>
        <w:rPr>
          <w:b/>
        </w:rPr>
        <w:t xml:space="preserve"> </w:t>
      </w:r>
      <w:r>
        <w:t xml:space="preserve">Management can limit the negative impacts of human activities on habitats. For example, </w:t>
      </w:r>
      <w:r w:rsidR="00874283">
        <w:t xml:space="preserve">policies </w:t>
      </w:r>
      <w:r>
        <w:t xml:space="preserve">that require salmon </w:t>
      </w:r>
      <w:proofErr w:type="spellStart"/>
      <w:r>
        <w:t>aquaculturists</w:t>
      </w:r>
      <w:proofErr w:type="spellEnd"/>
      <w:r>
        <w:t xml:space="preserve"> to let their farms lie fallow may reduce the amount of waste released and allow nearby </w:t>
      </w:r>
      <w:proofErr w:type="spellStart"/>
      <w:r>
        <w:t>seagrasses</w:t>
      </w:r>
      <w:proofErr w:type="spellEnd"/>
      <w:r>
        <w:t xml:space="preserve"> </w:t>
      </w:r>
      <w:proofErr w:type="gramStart"/>
      <w:r>
        <w:t>to recover</w:t>
      </w:r>
      <w:proofErr w:type="gramEnd"/>
      <w:r>
        <w:t xml:space="preserve">. Similarly, regulations that require a minimum height for overwater structures reduce the shading impacts of overwater structures on submerged aquatic vegetation. Thus, effective management strategies will reduce the exposure of habitats to stressors. The effectiveness of management of each stressor is scored relative to other stressors in the region on a scale of 1-3. </w:t>
      </w:r>
    </w:p>
    <w:p w:rsidR="00D35AF8" w:rsidRDefault="00D35AF8" w:rsidP="00D35AF8"/>
    <w:p w:rsidR="00874283" w:rsidRDefault="00874283" w:rsidP="00874283">
      <w:r>
        <w:t>We use the following categories to classify HIGH, MEDIUM and LOW management effectiveness:</w:t>
      </w:r>
    </w:p>
    <w:p w:rsidR="00874283" w:rsidRDefault="00874283" w:rsidP="00D35AF8"/>
    <w:tbl>
      <w:tblPr>
        <w:tblW w:w="0" w:type="auto"/>
        <w:tblLook w:val="00BF" w:firstRow="1" w:lastRow="0" w:firstColumn="1" w:lastColumn="0" w:noHBand="0" w:noVBand="0"/>
      </w:tblPr>
      <w:tblGrid>
        <w:gridCol w:w="1809"/>
        <w:gridCol w:w="1819"/>
        <w:gridCol w:w="1819"/>
        <w:gridCol w:w="1590"/>
        <w:gridCol w:w="1590"/>
      </w:tblGrid>
      <w:tr w:rsidR="00D35AF8">
        <w:tc>
          <w:tcPr>
            <w:tcW w:w="1809" w:type="dxa"/>
          </w:tcPr>
          <w:p w:rsidR="00D35AF8" w:rsidRDefault="00D35AF8" w:rsidP="00242698"/>
        </w:tc>
        <w:tc>
          <w:tcPr>
            <w:tcW w:w="1819" w:type="dxa"/>
          </w:tcPr>
          <w:p w:rsidR="00D35AF8" w:rsidRDefault="00D35AF8" w:rsidP="00242698">
            <w:r>
              <w:t>High (3)</w:t>
            </w:r>
          </w:p>
        </w:tc>
        <w:tc>
          <w:tcPr>
            <w:tcW w:w="1819" w:type="dxa"/>
          </w:tcPr>
          <w:p w:rsidR="00D35AF8" w:rsidRDefault="00D35AF8" w:rsidP="00242698">
            <w:r>
              <w:t xml:space="preserve">Medium (2) </w:t>
            </w:r>
          </w:p>
        </w:tc>
        <w:tc>
          <w:tcPr>
            <w:tcW w:w="1590" w:type="dxa"/>
          </w:tcPr>
          <w:p w:rsidR="00D35AF8" w:rsidRDefault="00D35AF8" w:rsidP="00242698">
            <w:r>
              <w:t>Low (1)</w:t>
            </w:r>
          </w:p>
        </w:tc>
        <w:tc>
          <w:tcPr>
            <w:tcW w:w="1590" w:type="dxa"/>
          </w:tcPr>
          <w:p w:rsidR="00D35AF8" w:rsidRDefault="00D35AF8" w:rsidP="00242698">
            <w:r>
              <w:t>No score</w:t>
            </w:r>
          </w:p>
        </w:tc>
      </w:tr>
      <w:tr w:rsidR="00D35AF8">
        <w:tc>
          <w:tcPr>
            <w:tcW w:w="1809" w:type="dxa"/>
          </w:tcPr>
          <w:p w:rsidR="00D35AF8" w:rsidRDefault="00D35AF8" w:rsidP="00242698">
            <w:r>
              <w:t>Management effectiveness</w:t>
            </w:r>
          </w:p>
        </w:tc>
        <w:tc>
          <w:tcPr>
            <w:tcW w:w="1819" w:type="dxa"/>
          </w:tcPr>
          <w:p w:rsidR="00D35AF8" w:rsidRDefault="00D35AF8" w:rsidP="00242698">
            <w:r>
              <w:t>Not effective, poorly managed</w:t>
            </w:r>
          </w:p>
        </w:tc>
        <w:tc>
          <w:tcPr>
            <w:tcW w:w="1819" w:type="dxa"/>
          </w:tcPr>
          <w:p w:rsidR="00D35AF8" w:rsidRDefault="00D35AF8" w:rsidP="00242698">
            <w:r>
              <w:t>Somewhat effective</w:t>
            </w:r>
          </w:p>
        </w:tc>
        <w:tc>
          <w:tcPr>
            <w:tcW w:w="1590" w:type="dxa"/>
          </w:tcPr>
          <w:p w:rsidR="00D35AF8" w:rsidRDefault="00D35AF8" w:rsidP="00242698">
            <w:r>
              <w:t>Very effective</w:t>
            </w:r>
          </w:p>
        </w:tc>
        <w:tc>
          <w:tcPr>
            <w:tcW w:w="1590" w:type="dxa"/>
          </w:tcPr>
          <w:p w:rsidR="00D35AF8" w:rsidRDefault="00D35AF8" w:rsidP="00242698">
            <w:r>
              <w:t>N/A</w:t>
            </w:r>
          </w:p>
        </w:tc>
      </w:tr>
    </w:tbl>
    <w:p w:rsidR="00D35AF8" w:rsidRPr="00093E01" w:rsidRDefault="00D35AF8" w:rsidP="00D35AF8"/>
    <w:p w:rsidR="00D35AF8" w:rsidRPr="002E5B45" w:rsidRDefault="00D35AF8" w:rsidP="00D35AF8"/>
    <w:p w:rsidR="00D35AF8" w:rsidRPr="00984201" w:rsidRDefault="00D35AF8" w:rsidP="00D35AF8">
      <w:pPr>
        <w:rPr>
          <w:b/>
        </w:rPr>
      </w:pPr>
      <w:r w:rsidRPr="00960284">
        <w:rPr>
          <w:b/>
        </w:rPr>
        <w:t xml:space="preserve">2. </w:t>
      </w:r>
      <w:r>
        <w:rPr>
          <w:b/>
        </w:rPr>
        <w:t>Consequence of exposure</w:t>
      </w:r>
    </w:p>
    <w:p w:rsidR="00D35AF8" w:rsidRDefault="00D35AF8" w:rsidP="00D35AF8">
      <w:r>
        <w:t>The risk of a habitat being degraded by a stressor depends on the consequence of exposure. The consequence of exposure depends on the ability of a habitat to resist the stressor and to recover following exposure</w:t>
      </w:r>
      <w:r w:rsidR="0001177F">
        <w:t xml:space="preserve"> and can be assessed using four key attributes: change in area, change in structure, frequency of natural disturbance, and recovery attributes.  We describe each in turn below.</w:t>
      </w:r>
    </w:p>
    <w:p w:rsidR="00D35AF8" w:rsidRPr="002E5B45" w:rsidRDefault="00D35AF8" w:rsidP="00D35AF8"/>
    <w:p w:rsidR="00D35AF8" w:rsidRDefault="00D35AF8" w:rsidP="00D35AF8">
      <w:r w:rsidRPr="00672DA5">
        <w:rPr>
          <w:b/>
        </w:rPr>
        <w:t>a. Change in area</w:t>
      </w:r>
      <w:r w:rsidR="001D2C1B">
        <w:rPr>
          <w:b/>
        </w:rPr>
        <w:t xml:space="preserve"> rating.</w:t>
      </w:r>
      <w:r>
        <w:t xml:space="preserve"> </w:t>
      </w:r>
      <w:r w:rsidR="0001177F">
        <w:t>Change in area is measured as the p</w:t>
      </w:r>
      <w:r>
        <w:t>ercent change in areal extent of a habitat when exposed to a given stressor</w:t>
      </w:r>
      <w:r w:rsidR="0001177F">
        <w:t xml:space="preserve"> and thus</w:t>
      </w:r>
      <w:r>
        <w:t xml:space="preserve"> reflects the sensitivity of the habitat to the stressor. Habitats that lose a high percentage of their areal extent when </w:t>
      </w:r>
      <w:r>
        <w:lastRenderedPageBreak/>
        <w:t xml:space="preserve">exposed to a given stressor are highly sensitive, while those habitats that lose little area are less sensitive and more resistant. </w:t>
      </w:r>
    </w:p>
    <w:p w:rsidR="00A50AF6" w:rsidRDefault="00A50AF6" w:rsidP="00A50AF6"/>
    <w:p w:rsidR="00A50AF6" w:rsidRDefault="00A50AF6" w:rsidP="00A50AF6">
      <w:r>
        <w:t>We use the following categories to classify HIGH, MEDIUM and LOW change in area:</w:t>
      </w:r>
    </w:p>
    <w:p w:rsidR="00D35AF8" w:rsidRDefault="00D35AF8" w:rsidP="00D35AF8"/>
    <w:tbl>
      <w:tblPr>
        <w:tblW w:w="0" w:type="auto"/>
        <w:tblLook w:val="00BF" w:firstRow="1" w:lastRow="0" w:firstColumn="1" w:lastColumn="0" w:noHBand="0" w:noVBand="0"/>
      </w:tblPr>
      <w:tblGrid>
        <w:gridCol w:w="1809"/>
        <w:gridCol w:w="1819"/>
        <w:gridCol w:w="1819"/>
        <w:gridCol w:w="1590"/>
        <w:gridCol w:w="1590"/>
      </w:tblGrid>
      <w:tr w:rsidR="00D35AF8">
        <w:tc>
          <w:tcPr>
            <w:tcW w:w="1809" w:type="dxa"/>
          </w:tcPr>
          <w:p w:rsidR="00D35AF8" w:rsidRDefault="00D35AF8" w:rsidP="00242698"/>
        </w:tc>
        <w:tc>
          <w:tcPr>
            <w:tcW w:w="1819" w:type="dxa"/>
          </w:tcPr>
          <w:p w:rsidR="00D35AF8" w:rsidRDefault="00D35AF8" w:rsidP="00242698">
            <w:r>
              <w:t>High (3)</w:t>
            </w:r>
          </w:p>
        </w:tc>
        <w:tc>
          <w:tcPr>
            <w:tcW w:w="1819" w:type="dxa"/>
          </w:tcPr>
          <w:p w:rsidR="00D35AF8" w:rsidRDefault="00D35AF8" w:rsidP="00242698">
            <w:r>
              <w:t xml:space="preserve">Medium (2) </w:t>
            </w:r>
          </w:p>
        </w:tc>
        <w:tc>
          <w:tcPr>
            <w:tcW w:w="1590" w:type="dxa"/>
          </w:tcPr>
          <w:p w:rsidR="00D35AF8" w:rsidRDefault="00D35AF8" w:rsidP="00242698">
            <w:r>
              <w:t>Low (1)</w:t>
            </w:r>
          </w:p>
        </w:tc>
        <w:tc>
          <w:tcPr>
            <w:tcW w:w="1590" w:type="dxa"/>
          </w:tcPr>
          <w:p w:rsidR="00D35AF8" w:rsidRDefault="00D35AF8" w:rsidP="00242698">
            <w:r>
              <w:t>No score</w:t>
            </w:r>
          </w:p>
        </w:tc>
      </w:tr>
      <w:tr w:rsidR="00D35AF8">
        <w:tc>
          <w:tcPr>
            <w:tcW w:w="1809" w:type="dxa"/>
          </w:tcPr>
          <w:p w:rsidR="00D35AF8" w:rsidRDefault="00D35AF8" w:rsidP="00242698">
            <w:r>
              <w:t>Change in area</w:t>
            </w:r>
          </w:p>
        </w:tc>
        <w:tc>
          <w:tcPr>
            <w:tcW w:w="1819" w:type="dxa"/>
          </w:tcPr>
          <w:p w:rsidR="00D35AF8" w:rsidRDefault="00D35AF8" w:rsidP="00242698">
            <w:r>
              <w:t>High loss in area (50-100%)</w:t>
            </w:r>
          </w:p>
        </w:tc>
        <w:tc>
          <w:tcPr>
            <w:tcW w:w="1819" w:type="dxa"/>
          </w:tcPr>
          <w:p w:rsidR="00D35AF8" w:rsidRDefault="00D35AF8" w:rsidP="00242698">
            <w:r>
              <w:t xml:space="preserve">Medium loss in area (20-50%) </w:t>
            </w:r>
          </w:p>
        </w:tc>
        <w:tc>
          <w:tcPr>
            <w:tcW w:w="1590" w:type="dxa"/>
          </w:tcPr>
          <w:p w:rsidR="00D35AF8" w:rsidRDefault="00D35AF8" w:rsidP="00242698">
            <w:r>
              <w:t>Low loss in area (0-20%)</w:t>
            </w:r>
          </w:p>
        </w:tc>
        <w:tc>
          <w:tcPr>
            <w:tcW w:w="1590" w:type="dxa"/>
          </w:tcPr>
          <w:p w:rsidR="00D35AF8" w:rsidRDefault="00D35AF8" w:rsidP="00242698">
            <w:r>
              <w:t>N/A</w:t>
            </w:r>
          </w:p>
        </w:tc>
      </w:tr>
    </w:tbl>
    <w:p w:rsidR="00D35AF8" w:rsidRPr="002E5B45" w:rsidRDefault="00D35AF8" w:rsidP="00D35AF8"/>
    <w:p w:rsidR="00D35AF8" w:rsidRPr="002E5B45" w:rsidRDefault="00D35AF8" w:rsidP="00D35AF8"/>
    <w:p w:rsidR="00D35AF8" w:rsidRDefault="00D35AF8" w:rsidP="00D35AF8">
      <w:r w:rsidRPr="00672DA5">
        <w:rPr>
          <w:b/>
        </w:rPr>
        <w:t>b. Change in structure</w:t>
      </w:r>
      <w:r w:rsidR="001D2C1B">
        <w:rPr>
          <w:b/>
        </w:rPr>
        <w:t xml:space="preserve"> rating.</w:t>
      </w:r>
      <w:r>
        <w:t xml:space="preserve"> For biotic habitats, the change in structure is the percentage change in structural density of the habitat when exposed to a given stressor. </w:t>
      </w:r>
      <w:r w:rsidR="00987D99">
        <w:t xml:space="preserve">For example, change in structure would be the change in shoot density for </w:t>
      </w:r>
      <w:proofErr w:type="spellStart"/>
      <w:r w:rsidR="00987D99">
        <w:t>seagrass</w:t>
      </w:r>
      <w:proofErr w:type="spellEnd"/>
      <w:r w:rsidR="00987D99">
        <w:t xml:space="preserve"> systems, change in polyp density for corals</w:t>
      </w:r>
      <w:r w:rsidR="00A50AF6">
        <w:t>,</w:t>
      </w:r>
      <w:r w:rsidR="00987D99">
        <w:t xml:space="preserve"> or change in stipe density for kelp systems. Habitats that lose </w:t>
      </w:r>
      <w:r>
        <w:t xml:space="preserve">a high percentage of their </w:t>
      </w:r>
      <w:r w:rsidR="00A50AF6">
        <w:t>structure</w:t>
      </w:r>
      <w:r>
        <w:t xml:space="preserve"> when exposed to a given stressor are highly sensitive, while habitats that lose little </w:t>
      </w:r>
      <w:r w:rsidR="00A50AF6">
        <w:t xml:space="preserve">structure </w:t>
      </w:r>
      <w:r>
        <w:t>are less sensitive and more resistant. For abiotic habitats, the change in structure is the amount of structural damage sustained by the habitat. Sensitive abiotic habitats will sustain complete or partial damage, while those that sustain little to no damage are more resistant. For example, gravel or muddy bottoms will sustain partial or complete damage from bottom trawling while hard bedrock bottoms will sustain little to no damage.</w:t>
      </w:r>
    </w:p>
    <w:p w:rsidR="00D35AF8" w:rsidRDefault="00D35AF8" w:rsidP="00D35AF8"/>
    <w:p w:rsidR="00A50AF6" w:rsidRDefault="00A50AF6" w:rsidP="00A50AF6">
      <w:r>
        <w:t>We use the following categories to classify HIGH, MEDIUM and LOW change in structure:</w:t>
      </w:r>
    </w:p>
    <w:p w:rsidR="00A50AF6" w:rsidRDefault="00A50AF6" w:rsidP="00D35AF8"/>
    <w:tbl>
      <w:tblPr>
        <w:tblW w:w="0" w:type="auto"/>
        <w:tblLook w:val="00BF" w:firstRow="1" w:lastRow="0" w:firstColumn="1" w:lastColumn="0" w:noHBand="0" w:noVBand="0"/>
      </w:tblPr>
      <w:tblGrid>
        <w:gridCol w:w="1809"/>
        <w:gridCol w:w="1819"/>
        <w:gridCol w:w="1819"/>
        <w:gridCol w:w="1590"/>
        <w:gridCol w:w="1590"/>
      </w:tblGrid>
      <w:tr w:rsidR="00D35AF8">
        <w:tc>
          <w:tcPr>
            <w:tcW w:w="1809" w:type="dxa"/>
          </w:tcPr>
          <w:p w:rsidR="00D35AF8" w:rsidRDefault="00D35AF8" w:rsidP="00242698"/>
        </w:tc>
        <w:tc>
          <w:tcPr>
            <w:tcW w:w="1819" w:type="dxa"/>
          </w:tcPr>
          <w:p w:rsidR="00D35AF8" w:rsidRDefault="00D35AF8" w:rsidP="00242698">
            <w:r>
              <w:t>High (3)</w:t>
            </w:r>
          </w:p>
        </w:tc>
        <w:tc>
          <w:tcPr>
            <w:tcW w:w="1819" w:type="dxa"/>
          </w:tcPr>
          <w:p w:rsidR="00D35AF8" w:rsidRDefault="00D35AF8" w:rsidP="00242698">
            <w:r>
              <w:t xml:space="preserve">Medium (2) </w:t>
            </w:r>
          </w:p>
        </w:tc>
        <w:tc>
          <w:tcPr>
            <w:tcW w:w="1590" w:type="dxa"/>
          </w:tcPr>
          <w:p w:rsidR="00D35AF8" w:rsidRDefault="00D35AF8" w:rsidP="00242698">
            <w:r>
              <w:t>Low (1)</w:t>
            </w:r>
          </w:p>
        </w:tc>
        <w:tc>
          <w:tcPr>
            <w:tcW w:w="1590" w:type="dxa"/>
          </w:tcPr>
          <w:p w:rsidR="00D35AF8" w:rsidRDefault="00D35AF8" w:rsidP="00242698">
            <w:r>
              <w:t>No score</w:t>
            </w:r>
          </w:p>
        </w:tc>
      </w:tr>
      <w:tr w:rsidR="00D35AF8">
        <w:tc>
          <w:tcPr>
            <w:tcW w:w="1809" w:type="dxa"/>
          </w:tcPr>
          <w:p w:rsidR="00D35AF8" w:rsidRPr="004007B8" w:rsidRDefault="00D35AF8" w:rsidP="00242698">
            <w:r w:rsidRPr="004007B8">
              <w:t>Change in structure</w:t>
            </w:r>
          </w:p>
        </w:tc>
        <w:tc>
          <w:tcPr>
            <w:tcW w:w="1819" w:type="dxa"/>
          </w:tcPr>
          <w:p w:rsidR="00D35AF8" w:rsidRPr="004007B8" w:rsidRDefault="00D35AF8" w:rsidP="00242698">
            <w:pPr>
              <w:spacing w:after="200"/>
              <w:rPr>
                <w:rFonts w:eastAsiaTheme="minorHAnsi" w:cstheme="minorBidi"/>
                <w:color w:val="000000"/>
              </w:rPr>
            </w:pPr>
            <w:r w:rsidRPr="004007B8">
              <w:rPr>
                <w:rFonts w:eastAsiaTheme="minorHAnsi" w:cstheme="minorBidi"/>
                <w:color w:val="000000"/>
              </w:rPr>
              <w:t>High loss in structure (for biotic habitats, 50-100% loss in density, for abiotic habitats, total structural damage)</w:t>
            </w:r>
          </w:p>
          <w:p w:rsidR="00D35AF8" w:rsidRPr="004007B8" w:rsidRDefault="00D35AF8" w:rsidP="00242698"/>
        </w:tc>
        <w:tc>
          <w:tcPr>
            <w:tcW w:w="1819" w:type="dxa"/>
          </w:tcPr>
          <w:p w:rsidR="00D35AF8" w:rsidRPr="004007B8" w:rsidRDefault="00D35AF8" w:rsidP="00242698">
            <w:pPr>
              <w:spacing w:after="200"/>
              <w:rPr>
                <w:rFonts w:eastAsiaTheme="minorHAnsi" w:cstheme="minorBidi"/>
                <w:color w:val="000000"/>
              </w:rPr>
            </w:pPr>
            <w:r w:rsidRPr="004007B8">
              <w:rPr>
                <w:rFonts w:eastAsiaTheme="minorHAnsi" w:cstheme="minorBidi"/>
                <w:color w:val="000000"/>
              </w:rPr>
              <w:t>Medium loss in structure (for biotic habitats, 20-50% loss in density, for abiotic habitats, partial structural damage)</w:t>
            </w:r>
          </w:p>
          <w:p w:rsidR="00D35AF8" w:rsidRPr="004007B8" w:rsidRDefault="00D35AF8" w:rsidP="00242698"/>
        </w:tc>
        <w:tc>
          <w:tcPr>
            <w:tcW w:w="1590" w:type="dxa"/>
          </w:tcPr>
          <w:p w:rsidR="00D35AF8" w:rsidRPr="004007B8" w:rsidRDefault="00A50AF6" w:rsidP="00242698">
            <w:pPr>
              <w:spacing w:after="200"/>
              <w:rPr>
                <w:rFonts w:eastAsiaTheme="minorHAnsi" w:cstheme="minorBidi"/>
                <w:color w:val="000000"/>
              </w:rPr>
            </w:pPr>
            <w:r>
              <w:rPr>
                <w:rFonts w:eastAsiaTheme="minorHAnsi" w:cstheme="minorBidi"/>
                <w:color w:val="000000"/>
              </w:rPr>
              <w:t>L</w:t>
            </w:r>
            <w:r w:rsidR="00D35AF8" w:rsidRPr="004007B8">
              <w:rPr>
                <w:rFonts w:eastAsiaTheme="minorHAnsi" w:cstheme="minorBidi"/>
                <w:color w:val="000000"/>
              </w:rPr>
              <w:t>ow loss in structure (for biotic habitats, 0-20% loss in density, for abiotic habitats, little to no structural damage)</w:t>
            </w:r>
          </w:p>
          <w:p w:rsidR="00D35AF8" w:rsidRPr="004007B8" w:rsidRDefault="00D35AF8" w:rsidP="00242698"/>
        </w:tc>
        <w:tc>
          <w:tcPr>
            <w:tcW w:w="1590" w:type="dxa"/>
          </w:tcPr>
          <w:p w:rsidR="00D35AF8" w:rsidRDefault="00D35AF8" w:rsidP="00242698">
            <w:r>
              <w:t>N/A</w:t>
            </w:r>
          </w:p>
        </w:tc>
      </w:tr>
    </w:tbl>
    <w:p w:rsidR="00D35AF8" w:rsidRPr="002E5B45" w:rsidRDefault="00D35AF8" w:rsidP="00D35AF8"/>
    <w:p w:rsidR="00D35AF8" w:rsidRPr="002E5B45" w:rsidRDefault="00D35AF8" w:rsidP="00D35AF8"/>
    <w:p w:rsidR="00D35AF8" w:rsidRDefault="00D35AF8" w:rsidP="00D35AF8">
      <w:r w:rsidRPr="00672DA5">
        <w:rPr>
          <w:b/>
        </w:rPr>
        <w:t>c. Frequency of natural disturbance</w:t>
      </w:r>
      <w:r w:rsidR="001D2C1B">
        <w:rPr>
          <w:b/>
        </w:rPr>
        <w:t xml:space="preserve"> rating.</w:t>
      </w:r>
      <w:r>
        <w:t xml:space="preserve"> If a habitat is </w:t>
      </w:r>
      <w:r w:rsidR="00A50AF6">
        <w:t xml:space="preserve">naturally </w:t>
      </w:r>
      <w:r>
        <w:t xml:space="preserve">frequently perturbed in a way similar to the anthropogenic stressor, it may be more resistant to additional anthropogenic stress. For example, habitats in areas that experience periodical delivery of nutrient subsidies (i.e. from upwelling or </w:t>
      </w:r>
      <w:proofErr w:type="spellStart"/>
      <w:r>
        <w:t>allocthonous</w:t>
      </w:r>
      <w:proofErr w:type="spellEnd"/>
      <w:r>
        <w:t xml:space="preserve"> inputs such as delivery of intertidal plant material to </w:t>
      </w:r>
      <w:proofErr w:type="spellStart"/>
      <w:r>
        <w:t>subtidal</w:t>
      </w:r>
      <w:proofErr w:type="spellEnd"/>
      <w:r>
        <w:t xml:space="preserve"> communities) </w:t>
      </w:r>
      <w:r w:rsidR="00374AD8">
        <w:t xml:space="preserve">are adapted to variable nutrient conditions and </w:t>
      </w:r>
      <w:r>
        <w:t xml:space="preserve">may be more resistant to nutrient loading from </w:t>
      </w:r>
      <w:proofErr w:type="spellStart"/>
      <w:r>
        <w:t>netpen</w:t>
      </w:r>
      <w:proofErr w:type="spellEnd"/>
      <w:r>
        <w:t xml:space="preserve"> salmon aquaculture. </w:t>
      </w:r>
      <w:r w:rsidR="009F1669">
        <w:lastRenderedPageBreak/>
        <w:t xml:space="preserve">This criterion is scored separately for each habitat-stressor combination, such that being adapted to variable nutrient conditions increases resistance to </w:t>
      </w:r>
      <w:r w:rsidR="00733860">
        <w:t>nutrient loading from salmon aquaculture but not destructive fishing. However, high storm frequency may increase resistance to destructive fishing, because both stressors impact habitats in similar ways.</w:t>
      </w:r>
      <w:r>
        <w:t xml:space="preserve"> </w:t>
      </w:r>
    </w:p>
    <w:p w:rsidR="00D35AF8" w:rsidRDefault="00D35AF8" w:rsidP="00D35AF8"/>
    <w:p w:rsidR="00374AD8" w:rsidRDefault="00374AD8" w:rsidP="00374AD8">
      <w:r>
        <w:t>We use the following categories to classify HIGH, MEDIUM and LOW natural disturbance frequencies:</w:t>
      </w:r>
    </w:p>
    <w:p w:rsidR="00374AD8" w:rsidRDefault="00374AD8" w:rsidP="00D35AF8"/>
    <w:tbl>
      <w:tblPr>
        <w:tblW w:w="0" w:type="auto"/>
        <w:tblLook w:val="00BF" w:firstRow="1" w:lastRow="0" w:firstColumn="1" w:lastColumn="0" w:noHBand="0" w:noVBand="0"/>
      </w:tblPr>
      <w:tblGrid>
        <w:gridCol w:w="1809"/>
        <w:gridCol w:w="1819"/>
        <w:gridCol w:w="1819"/>
        <w:gridCol w:w="1590"/>
        <w:gridCol w:w="1590"/>
      </w:tblGrid>
      <w:tr w:rsidR="00D35AF8">
        <w:tc>
          <w:tcPr>
            <w:tcW w:w="1809" w:type="dxa"/>
          </w:tcPr>
          <w:p w:rsidR="00D35AF8" w:rsidRDefault="00D35AF8" w:rsidP="00242698">
            <w:pPr>
              <w:spacing w:before="2" w:after="2"/>
            </w:pPr>
          </w:p>
        </w:tc>
        <w:tc>
          <w:tcPr>
            <w:tcW w:w="1819" w:type="dxa"/>
          </w:tcPr>
          <w:p w:rsidR="00D35AF8" w:rsidRDefault="00D35AF8" w:rsidP="00242698">
            <w:pPr>
              <w:spacing w:before="2" w:after="2"/>
            </w:pPr>
            <w:r>
              <w:t>High (3)</w:t>
            </w:r>
          </w:p>
        </w:tc>
        <w:tc>
          <w:tcPr>
            <w:tcW w:w="1819" w:type="dxa"/>
          </w:tcPr>
          <w:p w:rsidR="00D35AF8" w:rsidRDefault="00D35AF8" w:rsidP="00242698">
            <w:pPr>
              <w:spacing w:before="2" w:after="2"/>
            </w:pPr>
            <w:r>
              <w:t xml:space="preserve">Medium (2) </w:t>
            </w:r>
          </w:p>
        </w:tc>
        <w:tc>
          <w:tcPr>
            <w:tcW w:w="1590" w:type="dxa"/>
          </w:tcPr>
          <w:p w:rsidR="00D35AF8" w:rsidRDefault="00D35AF8" w:rsidP="00242698">
            <w:pPr>
              <w:spacing w:before="2" w:after="2"/>
            </w:pPr>
            <w:r>
              <w:t>Low (1)</w:t>
            </w:r>
          </w:p>
        </w:tc>
        <w:tc>
          <w:tcPr>
            <w:tcW w:w="1590" w:type="dxa"/>
          </w:tcPr>
          <w:p w:rsidR="00D35AF8" w:rsidRDefault="00D35AF8" w:rsidP="00242698">
            <w:pPr>
              <w:spacing w:before="2" w:after="2"/>
            </w:pPr>
            <w:r>
              <w:t>No score</w:t>
            </w:r>
          </w:p>
        </w:tc>
      </w:tr>
      <w:tr w:rsidR="00D35AF8">
        <w:tc>
          <w:tcPr>
            <w:tcW w:w="1809" w:type="dxa"/>
          </w:tcPr>
          <w:p w:rsidR="00D35AF8" w:rsidRDefault="00D35AF8" w:rsidP="00242698">
            <w:pPr>
              <w:spacing w:before="2" w:after="2"/>
            </w:pPr>
            <w:r>
              <w:t>Frequency of natural disturbance</w:t>
            </w:r>
          </w:p>
        </w:tc>
        <w:tc>
          <w:tcPr>
            <w:tcW w:w="1819" w:type="dxa"/>
          </w:tcPr>
          <w:p w:rsidR="00D35AF8" w:rsidRDefault="00D35AF8" w:rsidP="00242698">
            <w:pPr>
              <w:spacing w:before="2" w:after="2"/>
            </w:pPr>
            <w:r>
              <w:t>Annually or less often</w:t>
            </w:r>
          </w:p>
        </w:tc>
        <w:tc>
          <w:tcPr>
            <w:tcW w:w="1819" w:type="dxa"/>
          </w:tcPr>
          <w:p w:rsidR="00D35AF8" w:rsidRDefault="00D35AF8" w:rsidP="00242698">
            <w:pPr>
              <w:spacing w:before="2" w:after="2"/>
            </w:pPr>
            <w:r>
              <w:t>Several times per year</w:t>
            </w:r>
          </w:p>
        </w:tc>
        <w:tc>
          <w:tcPr>
            <w:tcW w:w="1590" w:type="dxa"/>
          </w:tcPr>
          <w:p w:rsidR="00D35AF8" w:rsidRDefault="00D35AF8" w:rsidP="00242698">
            <w:pPr>
              <w:spacing w:before="2" w:after="2"/>
            </w:pPr>
            <w:r>
              <w:t>Daily to weekly</w:t>
            </w:r>
          </w:p>
        </w:tc>
        <w:tc>
          <w:tcPr>
            <w:tcW w:w="1590" w:type="dxa"/>
          </w:tcPr>
          <w:p w:rsidR="00D35AF8" w:rsidRDefault="00D35AF8" w:rsidP="00242698">
            <w:pPr>
              <w:spacing w:before="2" w:after="2"/>
            </w:pPr>
            <w:r>
              <w:t>N/A</w:t>
            </w:r>
          </w:p>
        </w:tc>
      </w:tr>
    </w:tbl>
    <w:p w:rsidR="00D35AF8" w:rsidRPr="002E5B45" w:rsidRDefault="00D35AF8" w:rsidP="00D35AF8"/>
    <w:p w:rsidR="00D35AF8" w:rsidRPr="002E5B45" w:rsidRDefault="00D35AF8" w:rsidP="00D35AF8"/>
    <w:p w:rsidR="00D35AF8" w:rsidRPr="005E245A" w:rsidRDefault="00D35AF8" w:rsidP="00D35AF8">
      <w:r w:rsidRPr="005E245A">
        <w:rPr>
          <w:b/>
        </w:rPr>
        <w:t>d. Recovery attributes.</w:t>
      </w:r>
      <w:r w:rsidRPr="005E245A">
        <w:t xml:space="preserve"> Life history traits such as regeneration rates and recruitment patterns influence the ability of habitat</w:t>
      </w:r>
      <w:r w:rsidR="00374AD8">
        <w:t>s</w:t>
      </w:r>
      <w:r w:rsidRPr="005E245A">
        <w:t xml:space="preserve"> to recover from disturbance. </w:t>
      </w:r>
      <w:r w:rsidR="00B55497">
        <w:t xml:space="preserve"> For biotic habitats, we treat recovery as a function of natural mortality, recruitment, age of maturity, </w:t>
      </w:r>
      <w:r w:rsidR="00182947">
        <w:t>and connectivity</w:t>
      </w:r>
    </w:p>
    <w:p w:rsidR="00D35AF8" w:rsidRPr="005E245A" w:rsidRDefault="00D35AF8" w:rsidP="00D35AF8"/>
    <w:p w:rsidR="00D35AF8" w:rsidRDefault="00D35AF8" w:rsidP="00D35AF8">
      <w:pPr>
        <w:pStyle w:val="ListParagraph"/>
        <w:numPr>
          <w:ilvl w:val="0"/>
          <w:numId w:val="3"/>
        </w:numPr>
        <w:rPr>
          <w:rFonts w:ascii="Times New Roman" w:hAnsi="Times New Roman"/>
        </w:rPr>
      </w:pPr>
      <w:r w:rsidRPr="005E245A">
        <w:rPr>
          <w:rFonts w:ascii="Times New Roman" w:hAnsi="Times New Roman"/>
        </w:rPr>
        <w:t xml:space="preserve">Natural mortality rate </w:t>
      </w:r>
      <w:r w:rsidR="001D2C1B">
        <w:rPr>
          <w:rFonts w:ascii="Times New Roman" w:hAnsi="Times New Roman"/>
        </w:rPr>
        <w:t xml:space="preserve">rating </w:t>
      </w:r>
      <w:r w:rsidRPr="005E245A">
        <w:rPr>
          <w:rFonts w:ascii="Times New Roman" w:hAnsi="Times New Roman"/>
        </w:rPr>
        <w:t>(biotic habitats only): Habitats with high natural mortality rates are generally more productive and more capable of recovery.</w:t>
      </w:r>
    </w:p>
    <w:p w:rsidR="00533F96" w:rsidRDefault="00374AD8">
      <w:r>
        <w:t>We use the following categories to classify HIGH, MEDIUM and LOW natural mortality rates:</w:t>
      </w:r>
    </w:p>
    <w:p w:rsidR="00533F96" w:rsidRDefault="00533F96"/>
    <w:tbl>
      <w:tblPr>
        <w:tblW w:w="0" w:type="auto"/>
        <w:tblLook w:val="00BF" w:firstRow="1" w:lastRow="0" w:firstColumn="1" w:lastColumn="0" w:noHBand="0" w:noVBand="0"/>
      </w:tblPr>
      <w:tblGrid>
        <w:gridCol w:w="1809"/>
        <w:gridCol w:w="1819"/>
        <w:gridCol w:w="1819"/>
        <w:gridCol w:w="1590"/>
        <w:gridCol w:w="1590"/>
      </w:tblGrid>
      <w:tr w:rsidR="00D35AF8" w:rsidRPr="004007B8">
        <w:tc>
          <w:tcPr>
            <w:tcW w:w="1809" w:type="dxa"/>
          </w:tcPr>
          <w:p w:rsidR="00D35AF8" w:rsidRPr="004007B8" w:rsidRDefault="00D35AF8" w:rsidP="00242698">
            <w:pPr>
              <w:spacing w:before="2" w:after="2"/>
            </w:pPr>
          </w:p>
        </w:tc>
        <w:tc>
          <w:tcPr>
            <w:tcW w:w="1819" w:type="dxa"/>
          </w:tcPr>
          <w:p w:rsidR="00D35AF8" w:rsidRPr="004007B8" w:rsidRDefault="00D35AF8" w:rsidP="00242698">
            <w:pPr>
              <w:spacing w:before="2" w:after="2"/>
            </w:pPr>
            <w:r w:rsidRPr="004007B8">
              <w:t>High (3)</w:t>
            </w:r>
          </w:p>
        </w:tc>
        <w:tc>
          <w:tcPr>
            <w:tcW w:w="1819" w:type="dxa"/>
          </w:tcPr>
          <w:p w:rsidR="00D35AF8" w:rsidRPr="004007B8" w:rsidRDefault="00D35AF8" w:rsidP="00242698">
            <w:pPr>
              <w:spacing w:before="2" w:after="2"/>
            </w:pPr>
            <w:r w:rsidRPr="004007B8">
              <w:t xml:space="preserve">Medium (2) </w:t>
            </w:r>
          </w:p>
        </w:tc>
        <w:tc>
          <w:tcPr>
            <w:tcW w:w="1590" w:type="dxa"/>
          </w:tcPr>
          <w:p w:rsidR="00D35AF8" w:rsidRPr="004007B8" w:rsidRDefault="00D35AF8" w:rsidP="00242698">
            <w:pPr>
              <w:spacing w:before="2" w:after="2"/>
            </w:pPr>
            <w:r w:rsidRPr="004007B8">
              <w:t>Low (1)</w:t>
            </w:r>
          </w:p>
        </w:tc>
        <w:tc>
          <w:tcPr>
            <w:tcW w:w="1590" w:type="dxa"/>
          </w:tcPr>
          <w:p w:rsidR="00D35AF8" w:rsidRPr="004007B8" w:rsidRDefault="00D35AF8" w:rsidP="00242698">
            <w:pPr>
              <w:spacing w:before="2" w:after="2"/>
            </w:pPr>
            <w:r w:rsidRPr="004007B8">
              <w:t>No score</w:t>
            </w:r>
          </w:p>
        </w:tc>
      </w:tr>
      <w:tr w:rsidR="00D35AF8" w:rsidRPr="004007B8">
        <w:tc>
          <w:tcPr>
            <w:tcW w:w="1809" w:type="dxa"/>
          </w:tcPr>
          <w:p w:rsidR="00D35AF8" w:rsidRPr="004007B8" w:rsidRDefault="00D35AF8" w:rsidP="00242698">
            <w:pPr>
              <w:spacing w:before="2" w:after="2"/>
            </w:pPr>
            <w:r w:rsidRPr="004007B8">
              <w:t>Natural mortality rate</w:t>
            </w:r>
          </w:p>
        </w:tc>
        <w:tc>
          <w:tcPr>
            <w:tcW w:w="1819" w:type="dxa"/>
          </w:tcPr>
          <w:p w:rsidR="00D35AF8" w:rsidRPr="004007B8" w:rsidRDefault="00D35AF8" w:rsidP="00242698">
            <w:pPr>
              <w:spacing w:after="200"/>
              <w:rPr>
                <w:rFonts w:eastAsiaTheme="minorHAnsi" w:cstheme="minorBidi"/>
                <w:color w:val="000000"/>
              </w:rPr>
            </w:pPr>
            <w:r>
              <w:rPr>
                <w:rFonts w:eastAsiaTheme="minorHAnsi" w:cstheme="minorBidi"/>
                <w:color w:val="000000"/>
              </w:rPr>
              <w:t>L</w:t>
            </w:r>
            <w:r w:rsidRPr="004007B8">
              <w:rPr>
                <w:rFonts w:eastAsiaTheme="minorHAnsi" w:cstheme="minorBidi"/>
                <w:color w:val="000000"/>
              </w:rPr>
              <w:t>ow mortality (e.g. 0-20%)</w:t>
            </w:r>
          </w:p>
          <w:p w:rsidR="00D35AF8" w:rsidRPr="004007B8" w:rsidRDefault="00D35AF8" w:rsidP="00242698">
            <w:pPr>
              <w:spacing w:before="2" w:after="2"/>
            </w:pPr>
          </w:p>
        </w:tc>
        <w:tc>
          <w:tcPr>
            <w:tcW w:w="1819" w:type="dxa"/>
          </w:tcPr>
          <w:p w:rsidR="00D35AF8" w:rsidRPr="004007B8" w:rsidRDefault="00D35AF8" w:rsidP="00242698">
            <w:pPr>
              <w:spacing w:after="200"/>
              <w:rPr>
                <w:rFonts w:eastAsiaTheme="minorHAnsi" w:cstheme="minorBidi"/>
                <w:color w:val="000000"/>
              </w:rPr>
            </w:pPr>
            <w:r>
              <w:rPr>
                <w:rFonts w:eastAsiaTheme="minorHAnsi" w:cstheme="minorBidi"/>
                <w:color w:val="000000"/>
              </w:rPr>
              <w:t>M</w:t>
            </w:r>
            <w:r w:rsidRPr="004007B8">
              <w:rPr>
                <w:rFonts w:eastAsiaTheme="minorHAnsi" w:cstheme="minorBidi"/>
                <w:color w:val="000000"/>
              </w:rPr>
              <w:t>oderate mortality (e.g. 20-50%)</w:t>
            </w:r>
          </w:p>
          <w:p w:rsidR="00D35AF8" w:rsidRPr="004007B8" w:rsidRDefault="00D35AF8" w:rsidP="00242698">
            <w:pPr>
              <w:spacing w:before="2" w:after="2"/>
            </w:pPr>
          </w:p>
        </w:tc>
        <w:tc>
          <w:tcPr>
            <w:tcW w:w="1590" w:type="dxa"/>
          </w:tcPr>
          <w:p w:rsidR="00D35AF8" w:rsidRPr="004007B8" w:rsidRDefault="00D35AF8" w:rsidP="00242698">
            <w:pPr>
              <w:spacing w:after="200"/>
              <w:rPr>
                <w:rFonts w:eastAsiaTheme="minorHAnsi" w:cstheme="minorBidi"/>
                <w:color w:val="000000"/>
              </w:rPr>
            </w:pPr>
            <w:r>
              <w:rPr>
                <w:rFonts w:eastAsiaTheme="minorHAnsi" w:cstheme="minorBidi"/>
                <w:color w:val="000000"/>
              </w:rPr>
              <w:t>H</w:t>
            </w:r>
            <w:r w:rsidRPr="004007B8">
              <w:rPr>
                <w:rFonts w:eastAsiaTheme="minorHAnsi" w:cstheme="minorBidi"/>
                <w:color w:val="000000"/>
              </w:rPr>
              <w:t>i</w:t>
            </w:r>
            <w:r>
              <w:rPr>
                <w:rFonts w:eastAsiaTheme="minorHAnsi" w:cstheme="minorBidi"/>
                <w:color w:val="000000"/>
              </w:rPr>
              <w:t>gh mortality (e.g.80% or higher)</w:t>
            </w:r>
          </w:p>
        </w:tc>
        <w:tc>
          <w:tcPr>
            <w:tcW w:w="1590" w:type="dxa"/>
          </w:tcPr>
          <w:p w:rsidR="00D35AF8" w:rsidRPr="004007B8" w:rsidRDefault="00D35AF8" w:rsidP="00242698">
            <w:pPr>
              <w:spacing w:before="2" w:after="2"/>
            </w:pPr>
            <w:r w:rsidRPr="004007B8">
              <w:t>N/A</w:t>
            </w:r>
          </w:p>
        </w:tc>
      </w:tr>
    </w:tbl>
    <w:p w:rsidR="00D35AF8" w:rsidRPr="004007B8" w:rsidRDefault="00D35AF8" w:rsidP="00D35AF8"/>
    <w:p w:rsidR="00D35AF8" w:rsidRDefault="00D35AF8" w:rsidP="00D35AF8">
      <w:pPr>
        <w:pStyle w:val="ListParagraph"/>
        <w:numPr>
          <w:ilvl w:val="0"/>
          <w:numId w:val="3"/>
        </w:numPr>
        <w:rPr>
          <w:rFonts w:ascii="Times New Roman" w:hAnsi="Times New Roman"/>
        </w:rPr>
      </w:pPr>
      <w:r w:rsidRPr="005E245A">
        <w:rPr>
          <w:rFonts w:ascii="Times New Roman" w:hAnsi="Times New Roman"/>
        </w:rPr>
        <w:t xml:space="preserve">Recruitment </w:t>
      </w:r>
      <w:r w:rsidR="001D2C1B">
        <w:rPr>
          <w:rFonts w:ascii="Times New Roman" w:hAnsi="Times New Roman"/>
        </w:rPr>
        <w:t xml:space="preserve">rating </w:t>
      </w:r>
      <w:r w:rsidRPr="005E245A">
        <w:rPr>
          <w:rFonts w:ascii="Times New Roman" w:hAnsi="Times New Roman"/>
        </w:rPr>
        <w:t xml:space="preserve">(biotic habitats only): Frequent recruitment increases recovery potential by increasing the chance that incoming </w:t>
      </w:r>
      <w:proofErr w:type="spellStart"/>
      <w:r w:rsidRPr="005E245A">
        <w:rPr>
          <w:rFonts w:ascii="Times New Roman" w:hAnsi="Times New Roman"/>
        </w:rPr>
        <w:t>propagules</w:t>
      </w:r>
      <w:proofErr w:type="spellEnd"/>
      <w:r w:rsidRPr="005E245A">
        <w:rPr>
          <w:rFonts w:ascii="Times New Roman" w:hAnsi="Times New Roman"/>
        </w:rPr>
        <w:t xml:space="preserve"> can re-establish a population in a disturbed area.</w:t>
      </w:r>
    </w:p>
    <w:p w:rsidR="00533F96" w:rsidRDefault="00374AD8">
      <w:r>
        <w:t>We use the following categories to classify HIGH, MEDIUM and LOW natural recruitment rate:</w:t>
      </w:r>
    </w:p>
    <w:tbl>
      <w:tblPr>
        <w:tblW w:w="0" w:type="auto"/>
        <w:tblLook w:val="00BF" w:firstRow="1" w:lastRow="0" w:firstColumn="1" w:lastColumn="0" w:noHBand="0" w:noVBand="0"/>
      </w:tblPr>
      <w:tblGrid>
        <w:gridCol w:w="1809"/>
        <w:gridCol w:w="1819"/>
        <w:gridCol w:w="1819"/>
        <w:gridCol w:w="1590"/>
        <w:gridCol w:w="1590"/>
      </w:tblGrid>
      <w:tr w:rsidR="00D35AF8" w:rsidRPr="004007B8">
        <w:tc>
          <w:tcPr>
            <w:tcW w:w="1809" w:type="dxa"/>
          </w:tcPr>
          <w:p w:rsidR="00D35AF8" w:rsidRPr="004007B8" w:rsidRDefault="00D35AF8" w:rsidP="00242698">
            <w:pPr>
              <w:spacing w:before="2" w:after="2"/>
            </w:pPr>
          </w:p>
        </w:tc>
        <w:tc>
          <w:tcPr>
            <w:tcW w:w="1819" w:type="dxa"/>
          </w:tcPr>
          <w:p w:rsidR="00D35AF8" w:rsidRPr="004007B8" w:rsidRDefault="00D35AF8" w:rsidP="00242698">
            <w:pPr>
              <w:spacing w:before="2" w:after="2"/>
            </w:pPr>
            <w:r w:rsidRPr="004007B8">
              <w:t>High (3)</w:t>
            </w:r>
          </w:p>
        </w:tc>
        <w:tc>
          <w:tcPr>
            <w:tcW w:w="1819" w:type="dxa"/>
          </w:tcPr>
          <w:p w:rsidR="00D35AF8" w:rsidRPr="004007B8" w:rsidRDefault="00D35AF8" w:rsidP="00242698">
            <w:pPr>
              <w:spacing w:before="2" w:after="2"/>
            </w:pPr>
            <w:r w:rsidRPr="004007B8">
              <w:t xml:space="preserve">Medium (2) </w:t>
            </w:r>
          </w:p>
        </w:tc>
        <w:tc>
          <w:tcPr>
            <w:tcW w:w="1590" w:type="dxa"/>
          </w:tcPr>
          <w:p w:rsidR="00D35AF8" w:rsidRPr="004007B8" w:rsidRDefault="00D35AF8" w:rsidP="00242698">
            <w:pPr>
              <w:spacing w:before="2" w:after="2"/>
            </w:pPr>
            <w:r w:rsidRPr="004007B8">
              <w:t>Low (1)</w:t>
            </w:r>
          </w:p>
        </w:tc>
        <w:tc>
          <w:tcPr>
            <w:tcW w:w="1590" w:type="dxa"/>
          </w:tcPr>
          <w:p w:rsidR="00D35AF8" w:rsidRPr="004007B8" w:rsidRDefault="00D35AF8" w:rsidP="00242698">
            <w:pPr>
              <w:spacing w:before="2" w:after="2"/>
            </w:pPr>
            <w:r w:rsidRPr="004007B8">
              <w:t>No score</w:t>
            </w:r>
          </w:p>
        </w:tc>
      </w:tr>
      <w:tr w:rsidR="00D35AF8" w:rsidRPr="004007B8">
        <w:tc>
          <w:tcPr>
            <w:tcW w:w="1809" w:type="dxa"/>
          </w:tcPr>
          <w:p w:rsidR="00D35AF8" w:rsidRPr="004007B8" w:rsidRDefault="00D35AF8" w:rsidP="00374AD8">
            <w:pPr>
              <w:spacing w:before="2" w:after="2"/>
            </w:pPr>
            <w:r w:rsidRPr="004007B8">
              <w:t xml:space="preserve">Natural </w:t>
            </w:r>
            <w:r w:rsidR="00374AD8">
              <w:t>recruitment rate</w:t>
            </w:r>
          </w:p>
        </w:tc>
        <w:tc>
          <w:tcPr>
            <w:tcW w:w="1819" w:type="dxa"/>
          </w:tcPr>
          <w:p w:rsidR="00D35AF8" w:rsidRPr="004007B8" w:rsidRDefault="00D35AF8" w:rsidP="00242698">
            <w:pPr>
              <w:spacing w:before="2" w:after="2"/>
            </w:pPr>
            <w:r>
              <w:rPr>
                <w:rFonts w:eastAsiaTheme="minorHAnsi" w:cstheme="minorBidi"/>
                <w:color w:val="000000"/>
              </w:rPr>
              <w:t xml:space="preserve">Every 2+ </w:t>
            </w:r>
            <w:proofErr w:type="spellStart"/>
            <w:r>
              <w:rPr>
                <w:rFonts w:eastAsiaTheme="minorHAnsi" w:cstheme="minorBidi"/>
                <w:color w:val="000000"/>
              </w:rPr>
              <w:t>yrs</w:t>
            </w:r>
            <w:proofErr w:type="spellEnd"/>
          </w:p>
        </w:tc>
        <w:tc>
          <w:tcPr>
            <w:tcW w:w="1819" w:type="dxa"/>
          </w:tcPr>
          <w:p w:rsidR="00D35AF8" w:rsidRPr="004007B8" w:rsidRDefault="00D35AF8" w:rsidP="00242698">
            <w:pPr>
              <w:spacing w:before="2" w:after="2"/>
              <w:rPr>
                <w:rFonts w:eastAsiaTheme="minorHAnsi" w:cstheme="minorBidi"/>
                <w:color w:val="000000"/>
              </w:rPr>
            </w:pPr>
            <w:r>
              <w:rPr>
                <w:rFonts w:eastAsiaTheme="minorHAnsi" w:cstheme="minorBidi"/>
                <w:color w:val="000000"/>
              </w:rPr>
              <w:t xml:space="preserve">Every 1-2 </w:t>
            </w:r>
            <w:proofErr w:type="spellStart"/>
            <w:r>
              <w:rPr>
                <w:rFonts w:eastAsiaTheme="minorHAnsi" w:cstheme="minorBidi"/>
                <w:color w:val="000000"/>
              </w:rPr>
              <w:t>yrs</w:t>
            </w:r>
            <w:proofErr w:type="spellEnd"/>
          </w:p>
          <w:p w:rsidR="00D35AF8" w:rsidRPr="004007B8" w:rsidRDefault="00D35AF8" w:rsidP="00242698">
            <w:pPr>
              <w:spacing w:before="2" w:after="2"/>
            </w:pPr>
          </w:p>
        </w:tc>
        <w:tc>
          <w:tcPr>
            <w:tcW w:w="1590" w:type="dxa"/>
          </w:tcPr>
          <w:p w:rsidR="00D35AF8" w:rsidRPr="004007B8" w:rsidRDefault="00D35AF8" w:rsidP="00242698">
            <w:pPr>
              <w:spacing w:before="2" w:after="2"/>
              <w:rPr>
                <w:rFonts w:eastAsiaTheme="minorHAnsi" w:cstheme="minorBidi"/>
                <w:color w:val="000000"/>
              </w:rPr>
            </w:pPr>
            <w:r>
              <w:rPr>
                <w:rFonts w:eastAsiaTheme="minorHAnsi" w:cstheme="minorBidi"/>
                <w:color w:val="000000"/>
              </w:rPr>
              <w:t>Annual or more often</w:t>
            </w:r>
          </w:p>
        </w:tc>
        <w:tc>
          <w:tcPr>
            <w:tcW w:w="1590" w:type="dxa"/>
          </w:tcPr>
          <w:p w:rsidR="00D35AF8" w:rsidRPr="004007B8" w:rsidRDefault="00D35AF8" w:rsidP="00242698">
            <w:pPr>
              <w:spacing w:before="2" w:after="2"/>
            </w:pPr>
            <w:r w:rsidRPr="004007B8">
              <w:t>N/A</w:t>
            </w:r>
          </w:p>
        </w:tc>
      </w:tr>
    </w:tbl>
    <w:p w:rsidR="00D35AF8" w:rsidRPr="004007B8" w:rsidRDefault="00D35AF8" w:rsidP="00D35AF8"/>
    <w:p w:rsidR="00D35AF8" w:rsidRDefault="00D35AF8" w:rsidP="00D35AF8">
      <w:pPr>
        <w:pStyle w:val="ListParagraph"/>
        <w:numPr>
          <w:ilvl w:val="0"/>
          <w:numId w:val="3"/>
        </w:numPr>
        <w:rPr>
          <w:rFonts w:ascii="Times New Roman" w:hAnsi="Times New Roman"/>
        </w:rPr>
      </w:pPr>
      <w:r w:rsidRPr="005E245A">
        <w:rPr>
          <w:rFonts w:ascii="Times New Roman" w:hAnsi="Times New Roman"/>
        </w:rPr>
        <w:t xml:space="preserve">Age at maturity/recovery time: Biotic habitats that reach maturity earlier are likely to be able to recover more quickly from disturbance than those that take longer to reach maturity. </w:t>
      </w:r>
      <w:r w:rsidR="00B55497">
        <w:rPr>
          <w:rFonts w:ascii="Times New Roman" w:hAnsi="Times New Roman"/>
        </w:rPr>
        <w:t xml:space="preserve"> Here we </w:t>
      </w:r>
      <w:r w:rsidR="00351F6E">
        <w:rPr>
          <w:rFonts w:ascii="Times New Roman" w:hAnsi="Times New Roman"/>
        </w:rPr>
        <w:t>refer to</w:t>
      </w:r>
      <w:r w:rsidR="00B55497">
        <w:rPr>
          <w:rFonts w:ascii="Times New Roman" w:hAnsi="Times New Roman"/>
        </w:rPr>
        <w:t xml:space="preserve"> maturity of the habitat as a whole (i.e., a </w:t>
      </w:r>
      <w:r w:rsidR="00182947">
        <w:rPr>
          <w:rFonts w:ascii="Times New Roman" w:hAnsi="Times New Roman"/>
        </w:rPr>
        <w:t xml:space="preserve">mature </w:t>
      </w:r>
      <w:r w:rsidR="00B55497">
        <w:rPr>
          <w:rFonts w:ascii="Times New Roman" w:hAnsi="Times New Roman"/>
        </w:rPr>
        <w:t xml:space="preserve">kelp forest) rather than reproductive maturity of individuals.  </w:t>
      </w:r>
      <w:r w:rsidRPr="005E245A">
        <w:rPr>
          <w:rFonts w:ascii="Times New Roman" w:hAnsi="Times New Roman"/>
        </w:rPr>
        <w:t xml:space="preserve">For abiotic </w:t>
      </w:r>
      <w:r w:rsidRPr="005E245A">
        <w:rPr>
          <w:rFonts w:ascii="Times New Roman" w:hAnsi="Times New Roman"/>
        </w:rPr>
        <w:lastRenderedPageBreak/>
        <w:t>habitats, shorter recovery times for habitats such as mudflats decrease the consequences of exposure to human activities. In contrast</w:t>
      </w:r>
      <w:r w:rsidR="00351F6E">
        <w:rPr>
          <w:rFonts w:ascii="Times New Roman" w:hAnsi="Times New Roman"/>
        </w:rPr>
        <w:t>,</w:t>
      </w:r>
      <w:r w:rsidRPr="005E245A">
        <w:rPr>
          <w:rFonts w:ascii="Times New Roman" w:hAnsi="Times New Roman"/>
        </w:rPr>
        <w:t xml:space="preserve"> habitats made of bedrock will only recover on geological time scales, greatly increas</w:t>
      </w:r>
      <w:r w:rsidR="001E7776">
        <w:rPr>
          <w:rFonts w:ascii="Times New Roman" w:hAnsi="Times New Roman"/>
        </w:rPr>
        <w:t>ing</w:t>
      </w:r>
      <w:r w:rsidRPr="005E245A">
        <w:rPr>
          <w:rFonts w:ascii="Times New Roman" w:hAnsi="Times New Roman"/>
        </w:rPr>
        <w:t xml:space="preserve"> the consequences of exposure. </w:t>
      </w:r>
    </w:p>
    <w:p w:rsidR="00533F96" w:rsidRDefault="00374AD8">
      <w:r>
        <w:t>We use the following categories to classify HIGH, MEDIUM and LOW age at maturity/recovery time:</w:t>
      </w:r>
    </w:p>
    <w:p w:rsidR="00533F96" w:rsidRDefault="00533F96"/>
    <w:tbl>
      <w:tblPr>
        <w:tblW w:w="0" w:type="auto"/>
        <w:tblLook w:val="00BF" w:firstRow="1" w:lastRow="0" w:firstColumn="1" w:lastColumn="0" w:noHBand="0" w:noVBand="0"/>
      </w:tblPr>
      <w:tblGrid>
        <w:gridCol w:w="1936"/>
        <w:gridCol w:w="1819"/>
        <w:gridCol w:w="1819"/>
        <w:gridCol w:w="1590"/>
        <w:gridCol w:w="1590"/>
      </w:tblGrid>
      <w:tr w:rsidR="00D35AF8" w:rsidRPr="004007B8">
        <w:tc>
          <w:tcPr>
            <w:tcW w:w="1809" w:type="dxa"/>
          </w:tcPr>
          <w:p w:rsidR="00D35AF8" w:rsidRPr="004007B8" w:rsidRDefault="00D35AF8" w:rsidP="00242698">
            <w:pPr>
              <w:spacing w:before="2" w:after="2"/>
            </w:pPr>
          </w:p>
        </w:tc>
        <w:tc>
          <w:tcPr>
            <w:tcW w:w="1819" w:type="dxa"/>
          </w:tcPr>
          <w:p w:rsidR="00D35AF8" w:rsidRPr="004007B8" w:rsidRDefault="00D35AF8" w:rsidP="00242698">
            <w:pPr>
              <w:spacing w:before="2" w:after="2"/>
            </w:pPr>
            <w:r w:rsidRPr="004007B8">
              <w:t>High (3)</w:t>
            </w:r>
          </w:p>
        </w:tc>
        <w:tc>
          <w:tcPr>
            <w:tcW w:w="1819" w:type="dxa"/>
          </w:tcPr>
          <w:p w:rsidR="00D35AF8" w:rsidRPr="004007B8" w:rsidRDefault="00D35AF8" w:rsidP="00242698">
            <w:pPr>
              <w:spacing w:before="2" w:after="2"/>
            </w:pPr>
            <w:r w:rsidRPr="004007B8">
              <w:t xml:space="preserve">Medium (2) </w:t>
            </w:r>
          </w:p>
        </w:tc>
        <w:tc>
          <w:tcPr>
            <w:tcW w:w="1590" w:type="dxa"/>
          </w:tcPr>
          <w:p w:rsidR="00D35AF8" w:rsidRPr="004007B8" w:rsidRDefault="00D35AF8" w:rsidP="00242698">
            <w:pPr>
              <w:spacing w:before="2" w:after="2"/>
            </w:pPr>
            <w:r w:rsidRPr="004007B8">
              <w:t>Low (1)</w:t>
            </w:r>
          </w:p>
        </w:tc>
        <w:tc>
          <w:tcPr>
            <w:tcW w:w="1590" w:type="dxa"/>
          </w:tcPr>
          <w:p w:rsidR="00D35AF8" w:rsidRPr="004007B8" w:rsidRDefault="00D35AF8" w:rsidP="00242698">
            <w:pPr>
              <w:spacing w:before="2" w:after="2"/>
            </w:pPr>
            <w:r w:rsidRPr="004007B8">
              <w:t>No score</w:t>
            </w:r>
          </w:p>
        </w:tc>
      </w:tr>
      <w:tr w:rsidR="00D35AF8" w:rsidRPr="004007B8">
        <w:tc>
          <w:tcPr>
            <w:tcW w:w="1809" w:type="dxa"/>
          </w:tcPr>
          <w:p w:rsidR="00D35AF8" w:rsidRPr="004007B8" w:rsidRDefault="00D35AF8" w:rsidP="00242698">
            <w:pPr>
              <w:spacing w:before="2" w:after="2"/>
            </w:pPr>
            <w:r>
              <w:t>Age at maturity/recovery time</w:t>
            </w:r>
          </w:p>
        </w:tc>
        <w:tc>
          <w:tcPr>
            <w:tcW w:w="1819" w:type="dxa"/>
          </w:tcPr>
          <w:p w:rsidR="00D35AF8" w:rsidRPr="004007B8" w:rsidRDefault="00D35AF8" w:rsidP="00242698">
            <w:pPr>
              <w:spacing w:before="2" w:after="2"/>
            </w:pPr>
            <w:r>
              <w:rPr>
                <w:rFonts w:eastAsiaTheme="minorHAnsi" w:cstheme="minorBidi"/>
                <w:color w:val="000000"/>
              </w:rPr>
              <w:t xml:space="preserve">More than 10 </w:t>
            </w:r>
            <w:proofErr w:type="spellStart"/>
            <w:r>
              <w:rPr>
                <w:rFonts w:eastAsiaTheme="minorHAnsi" w:cstheme="minorBidi"/>
                <w:color w:val="000000"/>
              </w:rPr>
              <w:t>yrs</w:t>
            </w:r>
            <w:proofErr w:type="spellEnd"/>
          </w:p>
        </w:tc>
        <w:tc>
          <w:tcPr>
            <w:tcW w:w="1819" w:type="dxa"/>
          </w:tcPr>
          <w:p w:rsidR="00D35AF8" w:rsidRPr="004007B8" w:rsidRDefault="00D35AF8" w:rsidP="00242698">
            <w:pPr>
              <w:spacing w:before="2" w:after="2"/>
            </w:pPr>
            <w:r>
              <w:rPr>
                <w:rFonts w:eastAsiaTheme="minorHAnsi" w:cstheme="minorBidi"/>
                <w:color w:val="000000"/>
              </w:rPr>
              <w:t>1-10yrs</w:t>
            </w:r>
          </w:p>
        </w:tc>
        <w:tc>
          <w:tcPr>
            <w:tcW w:w="1590" w:type="dxa"/>
          </w:tcPr>
          <w:p w:rsidR="00D35AF8" w:rsidRPr="004007B8" w:rsidRDefault="00D35AF8" w:rsidP="00242698">
            <w:pPr>
              <w:spacing w:before="2" w:after="2"/>
              <w:rPr>
                <w:rFonts w:eastAsiaTheme="minorHAnsi" w:cstheme="minorBidi"/>
                <w:color w:val="000000"/>
              </w:rPr>
            </w:pPr>
            <w:r>
              <w:rPr>
                <w:rFonts w:eastAsiaTheme="minorHAnsi" w:cstheme="minorBidi"/>
                <w:color w:val="000000"/>
              </w:rPr>
              <w:t xml:space="preserve">Less than 1 </w:t>
            </w:r>
            <w:proofErr w:type="spellStart"/>
            <w:r>
              <w:rPr>
                <w:rFonts w:eastAsiaTheme="minorHAnsi" w:cstheme="minorBidi"/>
                <w:color w:val="000000"/>
              </w:rPr>
              <w:t>yr</w:t>
            </w:r>
            <w:proofErr w:type="spellEnd"/>
          </w:p>
        </w:tc>
        <w:tc>
          <w:tcPr>
            <w:tcW w:w="1590" w:type="dxa"/>
          </w:tcPr>
          <w:p w:rsidR="00D35AF8" w:rsidRPr="004007B8" w:rsidRDefault="00D35AF8" w:rsidP="00242698">
            <w:pPr>
              <w:spacing w:before="2" w:after="2"/>
            </w:pPr>
            <w:r w:rsidRPr="004007B8">
              <w:t>N/A</w:t>
            </w:r>
          </w:p>
        </w:tc>
      </w:tr>
    </w:tbl>
    <w:p w:rsidR="00D35AF8" w:rsidRPr="004007B8" w:rsidRDefault="00D35AF8" w:rsidP="00D35AF8"/>
    <w:p w:rsidR="00D35AF8" w:rsidRDefault="00D35AF8" w:rsidP="00D35AF8">
      <w:pPr>
        <w:pStyle w:val="ListParagraph"/>
        <w:numPr>
          <w:ilvl w:val="0"/>
          <w:numId w:val="3"/>
        </w:numPr>
        <w:rPr>
          <w:rFonts w:ascii="Times New Roman" w:hAnsi="Times New Roman"/>
        </w:rPr>
      </w:pPr>
      <w:r w:rsidRPr="005E245A">
        <w:rPr>
          <w:rFonts w:ascii="Times New Roman" w:hAnsi="Times New Roman"/>
        </w:rPr>
        <w:t>Connectivity</w:t>
      </w:r>
      <w:r>
        <w:rPr>
          <w:rFonts w:ascii="Times New Roman" w:hAnsi="Times New Roman"/>
        </w:rPr>
        <w:t xml:space="preserve"> </w:t>
      </w:r>
      <w:r w:rsidR="001D2C1B">
        <w:rPr>
          <w:rFonts w:ascii="Times New Roman" w:hAnsi="Times New Roman"/>
        </w:rPr>
        <w:t xml:space="preserve">rating </w:t>
      </w:r>
      <w:r>
        <w:rPr>
          <w:rFonts w:ascii="Times New Roman" w:hAnsi="Times New Roman"/>
        </w:rPr>
        <w:t>(biotic habitats only)</w:t>
      </w:r>
      <w:r w:rsidRPr="005E245A">
        <w:rPr>
          <w:rFonts w:ascii="Times New Roman" w:hAnsi="Times New Roman"/>
        </w:rPr>
        <w:t xml:space="preserve">: Larval dispersal and close spacing of habitat patches increases the recovery potential of a habitat by increasing the chance that incoming </w:t>
      </w:r>
      <w:proofErr w:type="spellStart"/>
      <w:r w:rsidRPr="005E245A">
        <w:rPr>
          <w:rFonts w:ascii="Times New Roman" w:hAnsi="Times New Roman"/>
        </w:rPr>
        <w:t>propagules</w:t>
      </w:r>
      <w:proofErr w:type="spellEnd"/>
      <w:r w:rsidRPr="005E245A">
        <w:rPr>
          <w:rFonts w:ascii="Times New Roman" w:hAnsi="Times New Roman"/>
        </w:rPr>
        <w:t xml:space="preserve"> can re-establish a population in a disturbed area. </w:t>
      </w:r>
    </w:p>
    <w:p w:rsidR="00533F96" w:rsidRDefault="001E7776">
      <w:r>
        <w:t>We use the following categories to classify HIGH, MEDIUM and LOW connectivity:</w:t>
      </w:r>
    </w:p>
    <w:tbl>
      <w:tblPr>
        <w:tblW w:w="0" w:type="auto"/>
        <w:tblLook w:val="00BF" w:firstRow="1" w:lastRow="0" w:firstColumn="1" w:lastColumn="0" w:noHBand="0" w:noVBand="0"/>
      </w:tblPr>
      <w:tblGrid>
        <w:gridCol w:w="1809"/>
        <w:gridCol w:w="1819"/>
        <w:gridCol w:w="1819"/>
        <w:gridCol w:w="1590"/>
        <w:gridCol w:w="1590"/>
      </w:tblGrid>
      <w:tr w:rsidR="00D35AF8" w:rsidRPr="004007B8">
        <w:tc>
          <w:tcPr>
            <w:tcW w:w="1809" w:type="dxa"/>
          </w:tcPr>
          <w:p w:rsidR="00D35AF8" w:rsidRPr="004007B8" w:rsidRDefault="00D35AF8" w:rsidP="00242698">
            <w:pPr>
              <w:spacing w:before="2" w:after="2"/>
            </w:pPr>
          </w:p>
        </w:tc>
        <w:tc>
          <w:tcPr>
            <w:tcW w:w="1819" w:type="dxa"/>
          </w:tcPr>
          <w:p w:rsidR="00D35AF8" w:rsidRPr="004007B8" w:rsidRDefault="00D35AF8" w:rsidP="00242698">
            <w:pPr>
              <w:spacing w:before="2" w:after="2"/>
            </w:pPr>
            <w:r w:rsidRPr="004007B8">
              <w:t>High (3)</w:t>
            </w:r>
          </w:p>
        </w:tc>
        <w:tc>
          <w:tcPr>
            <w:tcW w:w="1819" w:type="dxa"/>
          </w:tcPr>
          <w:p w:rsidR="00D35AF8" w:rsidRPr="004007B8" w:rsidRDefault="00D35AF8" w:rsidP="00242698">
            <w:pPr>
              <w:spacing w:before="2" w:after="2"/>
            </w:pPr>
            <w:r w:rsidRPr="004007B8">
              <w:t xml:space="preserve">Medium (2) </w:t>
            </w:r>
          </w:p>
        </w:tc>
        <w:tc>
          <w:tcPr>
            <w:tcW w:w="1590" w:type="dxa"/>
          </w:tcPr>
          <w:p w:rsidR="00D35AF8" w:rsidRPr="004007B8" w:rsidRDefault="00D35AF8" w:rsidP="00242698">
            <w:pPr>
              <w:spacing w:before="2" w:after="2"/>
            </w:pPr>
            <w:r w:rsidRPr="004007B8">
              <w:t>Low (1)</w:t>
            </w:r>
          </w:p>
        </w:tc>
        <w:tc>
          <w:tcPr>
            <w:tcW w:w="1590" w:type="dxa"/>
          </w:tcPr>
          <w:p w:rsidR="00D35AF8" w:rsidRPr="004007B8" w:rsidRDefault="00D35AF8" w:rsidP="00242698">
            <w:pPr>
              <w:spacing w:before="2" w:after="2"/>
            </w:pPr>
            <w:r w:rsidRPr="004007B8">
              <w:t>No score</w:t>
            </w:r>
          </w:p>
        </w:tc>
      </w:tr>
      <w:tr w:rsidR="00D35AF8" w:rsidRPr="004007B8">
        <w:tc>
          <w:tcPr>
            <w:tcW w:w="1809" w:type="dxa"/>
          </w:tcPr>
          <w:p w:rsidR="00D35AF8" w:rsidRPr="004007B8" w:rsidRDefault="00D35AF8" w:rsidP="00242698">
            <w:pPr>
              <w:spacing w:before="2" w:after="2"/>
            </w:pPr>
            <w:r>
              <w:t>Connectivity</w:t>
            </w:r>
          </w:p>
        </w:tc>
        <w:tc>
          <w:tcPr>
            <w:tcW w:w="1819" w:type="dxa"/>
          </w:tcPr>
          <w:p w:rsidR="00D35AF8" w:rsidRPr="004007B8" w:rsidRDefault="00D35AF8" w:rsidP="00242698">
            <w:pPr>
              <w:spacing w:before="2" w:after="2"/>
            </w:pPr>
            <w:r>
              <w:rPr>
                <w:rFonts w:eastAsiaTheme="minorHAnsi" w:cstheme="minorBidi"/>
                <w:color w:val="000000"/>
              </w:rPr>
              <w:t>Low dispersal (less than 10km)</w:t>
            </w:r>
          </w:p>
        </w:tc>
        <w:tc>
          <w:tcPr>
            <w:tcW w:w="1819" w:type="dxa"/>
          </w:tcPr>
          <w:p w:rsidR="00D35AF8" w:rsidRPr="004007B8" w:rsidRDefault="00D35AF8" w:rsidP="00242698">
            <w:pPr>
              <w:spacing w:before="2" w:after="2"/>
            </w:pPr>
            <w:r>
              <w:rPr>
                <w:rFonts w:eastAsiaTheme="minorHAnsi" w:cstheme="minorBidi"/>
                <w:color w:val="000000"/>
              </w:rPr>
              <w:t>Medium dispersal (10-100km)</w:t>
            </w:r>
          </w:p>
        </w:tc>
        <w:tc>
          <w:tcPr>
            <w:tcW w:w="1590" w:type="dxa"/>
          </w:tcPr>
          <w:p w:rsidR="00D35AF8" w:rsidRPr="004007B8" w:rsidRDefault="00D35AF8" w:rsidP="00242698">
            <w:pPr>
              <w:spacing w:before="2" w:after="2"/>
              <w:rPr>
                <w:rFonts w:eastAsiaTheme="minorHAnsi" w:cstheme="minorBidi"/>
                <w:color w:val="000000"/>
              </w:rPr>
            </w:pPr>
            <w:r>
              <w:rPr>
                <w:rFonts w:eastAsiaTheme="minorHAnsi" w:cstheme="minorBidi"/>
                <w:color w:val="000000"/>
              </w:rPr>
              <w:t>High dispersal (&gt;100km)</w:t>
            </w:r>
          </w:p>
        </w:tc>
        <w:tc>
          <w:tcPr>
            <w:tcW w:w="1590" w:type="dxa"/>
          </w:tcPr>
          <w:p w:rsidR="00D35AF8" w:rsidRPr="004007B8" w:rsidRDefault="00D35AF8" w:rsidP="00242698">
            <w:pPr>
              <w:spacing w:before="2" w:after="2"/>
            </w:pPr>
            <w:r w:rsidRPr="004007B8">
              <w:t>N/A</w:t>
            </w:r>
          </w:p>
        </w:tc>
      </w:tr>
    </w:tbl>
    <w:p w:rsidR="00703E9D" w:rsidRDefault="00703E9D" w:rsidP="00D35AF8"/>
    <w:p w:rsidR="00486231" w:rsidRDefault="000442DA" w:rsidP="00D35AF8">
      <w:pPr>
        <w:rPr>
          <w:b/>
        </w:rPr>
      </w:pPr>
      <w:r>
        <w:rPr>
          <w:b/>
        </w:rPr>
        <w:t xml:space="preserve">3. </w:t>
      </w:r>
      <w:r w:rsidR="00703E9D" w:rsidRPr="00703E9D">
        <w:rPr>
          <w:b/>
        </w:rPr>
        <w:t>Guidelines for scoring data quality</w:t>
      </w:r>
    </w:p>
    <w:p w:rsidR="00E8149A" w:rsidRDefault="00CB151B" w:rsidP="00D35AF8">
      <w:pPr>
        <w:rPr>
          <w:b/>
        </w:rPr>
      </w:pPr>
      <w:r w:rsidRPr="00CB151B">
        <w:rPr>
          <w:b/>
          <w:noProof/>
        </w:rPr>
        <w:drawing>
          <wp:inline distT="0" distB="0" distL="0" distR="0" wp14:anchorId="77061FA7" wp14:editId="40F93797">
            <wp:extent cx="831817" cy="1105709"/>
            <wp:effectExtent l="152400" t="0" r="133383" b="0"/>
            <wp:docPr id="8" name="Picture 0" descr="Screen shot 2011-05-09 at 7.40.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09 at 7.40.23 AM.png"/>
                    <pic:cNvPicPr/>
                  </pic:nvPicPr>
                  <pic:blipFill>
                    <a:blip r:embed="rId12"/>
                    <a:srcRect l="26655" t="41420" r="58552" b="33221"/>
                    <a:stretch>
                      <a:fillRect/>
                    </a:stretch>
                  </pic:blipFill>
                  <pic:spPr>
                    <a:xfrm rot="5400000">
                      <a:off x="0" y="0"/>
                      <a:ext cx="831610" cy="1105434"/>
                    </a:xfrm>
                    <a:prstGeom prst="rect">
                      <a:avLst/>
                    </a:prstGeom>
                  </pic:spPr>
                </pic:pic>
              </a:graphicData>
            </a:graphic>
          </wp:inline>
        </w:drawing>
      </w:r>
    </w:p>
    <w:p w:rsidR="00703E9D" w:rsidRDefault="00703E9D" w:rsidP="00D35AF8"/>
    <w:p w:rsidR="00E8149A" w:rsidRDefault="00E8149A" w:rsidP="00E8149A">
      <w:r>
        <w:t>Risk assessment is an integrative process, which requires a substantial amount of data on many attributes of human and ecological systems. It is likely that some aspects of the risk assessment will be supported high quality data and others aspects will be subject to limited data availability and high uncertainty. To increase the transparency of the model results, we color-code the result</w:t>
      </w:r>
      <w:r w:rsidR="00F31E5F">
        <w:t xml:space="preserve">s in the </w:t>
      </w:r>
      <w:r w:rsidR="00E11D4B">
        <w:t xml:space="preserve">output </w:t>
      </w:r>
      <w:r w:rsidR="00F31E5F">
        <w:t xml:space="preserve">figures </w:t>
      </w:r>
      <w:r>
        <w:t xml:space="preserve">according to the average quality of the data that was used to generate each score. We hope that by including the option to rate data quality in the model, users will be aware of some sources of uncertainty in the risk assessment, and will therefore be cautious when using results derived from low quality data. In addition, the information generated from this rating process can be used to guide research and monitoring effects to improve data quality and availability. </w:t>
      </w:r>
    </w:p>
    <w:p w:rsidR="00F204BD" w:rsidRDefault="00F204BD" w:rsidP="00E8149A"/>
    <w:p w:rsidR="00703E9D" w:rsidRPr="004007B8" w:rsidRDefault="00703E9D" w:rsidP="00D35AF8">
      <w:r>
        <w:t xml:space="preserve">For each exposure and consequence score, users can indicate the quality of the data that was used to determine the score as best, adequate or limited. </w:t>
      </w:r>
    </w:p>
    <w:tbl>
      <w:tblPr>
        <w:tblStyle w:val="TableGrid"/>
        <w:tblW w:w="0" w:type="auto"/>
        <w:tblLook w:val="00BF" w:firstRow="1" w:lastRow="0" w:firstColumn="1" w:lastColumn="0" w:noHBand="0" w:noVBand="0"/>
      </w:tblPr>
      <w:tblGrid>
        <w:gridCol w:w="2681"/>
        <w:gridCol w:w="2114"/>
        <w:gridCol w:w="1972"/>
        <w:gridCol w:w="1972"/>
      </w:tblGrid>
      <w:tr w:rsidR="002B5D5B">
        <w:tc>
          <w:tcPr>
            <w:tcW w:w="2681" w:type="dxa"/>
          </w:tcPr>
          <w:p w:rsidR="002B5D5B" w:rsidRDefault="002B5D5B" w:rsidP="00D35AF8">
            <w:r>
              <w:t>Best data (1)</w:t>
            </w:r>
          </w:p>
        </w:tc>
        <w:tc>
          <w:tcPr>
            <w:tcW w:w="2114" w:type="dxa"/>
          </w:tcPr>
          <w:p w:rsidR="002B5D5B" w:rsidRDefault="002B5D5B" w:rsidP="00D35AF8">
            <w:r>
              <w:t>Adequate data</w:t>
            </w:r>
          </w:p>
        </w:tc>
        <w:tc>
          <w:tcPr>
            <w:tcW w:w="1972" w:type="dxa"/>
          </w:tcPr>
          <w:p w:rsidR="002B5D5B" w:rsidRDefault="002B5D5B" w:rsidP="00D35AF8">
            <w:r>
              <w:t>Limited data</w:t>
            </w:r>
          </w:p>
        </w:tc>
        <w:tc>
          <w:tcPr>
            <w:tcW w:w="1972" w:type="dxa"/>
          </w:tcPr>
          <w:p w:rsidR="002B5D5B" w:rsidRDefault="00CB151B" w:rsidP="00D35AF8">
            <w:r>
              <w:t>Unknown</w:t>
            </w:r>
          </w:p>
        </w:tc>
      </w:tr>
      <w:tr w:rsidR="002B5D5B">
        <w:tc>
          <w:tcPr>
            <w:tcW w:w="2681" w:type="dxa"/>
          </w:tcPr>
          <w:p w:rsidR="002B5D5B" w:rsidRDefault="002B5D5B" w:rsidP="00EC3A3E">
            <w:r>
              <w:t xml:space="preserve">Substantial information is available to support the </w:t>
            </w:r>
            <w:r>
              <w:lastRenderedPageBreak/>
              <w:t>score and is based on data collected in the study region (or nearby) for the species in question.</w:t>
            </w:r>
          </w:p>
        </w:tc>
        <w:tc>
          <w:tcPr>
            <w:tcW w:w="2114" w:type="dxa"/>
          </w:tcPr>
          <w:p w:rsidR="002B5D5B" w:rsidRDefault="002B5D5B" w:rsidP="00EC3A3E">
            <w:r>
              <w:lastRenderedPageBreak/>
              <w:t xml:space="preserve">Information is based on data collected </w:t>
            </w:r>
            <w:r>
              <w:lastRenderedPageBreak/>
              <w:t xml:space="preserve">outside the study region, may be based on related species, </w:t>
            </w:r>
            <w:proofErr w:type="gramStart"/>
            <w:r>
              <w:t>may</w:t>
            </w:r>
            <w:proofErr w:type="gramEnd"/>
            <w:r>
              <w:t xml:space="preserve"> represent moderate or insignificant statistical relationships. </w:t>
            </w:r>
          </w:p>
        </w:tc>
        <w:tc>
          <w:tcPr>
            <w:tcW w:w="1972" w:type="dxa"/>
          </w:tcPr>
          <w:p w:rsidR="002B5D5B" w:rsidRDefault="002B5D5B" w:rsidP="00B94186">
            <w:r>
              <w:lastRenderedPageBreak/>
              <w:t xml:space="preserve">No empirical literature exists to </w:t>
            </w:r>
            <w:r>
              <w:lastRenderedPageBreak/>
              <w:t xml:space="preserve">justify scoring for the species but a reasonable inference can be made by the </w:t>
            </w:r>
            <w:r w:rsidR="00B94186">
              <w:t>user.</w:t>
            </w:r>
            <w:r>
              <w:t xml:space="preserve"> </w:t>
            </w:r>
          </w:p>
        </w:tc>
        <w:tc>
          <w:tcPr>
            <w:tcW w:w="1972" w:type="dxa"/>
          </w:tcPr>
          <w:p w:rsidR="002B5D5B" w:rsidRDefault="002B5D5B" w:rsidP="00D35AF8">
            <w:r>
              <w:lastRenderedPageBreak/>
              <w:t>N/A</w:t>
            </w:r>
          </w:p>
        </w:tc>
      </w:tr>
    </w:tbl>
    <w:p w:rsidR="00D35AF8" w:rsidRPr="004007B8" w:rsidRDefault="00D35AF8" w:rsidP="00D35AF8"/>
    <w:p w:rsidR="00D35AF8" w:rsidRPr="00657E83" w:rsidRDefault="002B4E2B" w:rsidP="00D35AF8">
      <w:pPr>
        <w:pStyle w:val="Heading2"/>
        <w:rPr>
          <w:rFonts w:ascii="Times New Roman" w:hAnsi="Times New Roman"/>
          <w:i/>
          <w:color w:val="auto"/>
          <w:sz w:val="28"/>
        </w:rPr>
      </w:pPr>
      <w:bookmarkStart w:id="3" w:name="_Toc278004919"/>
      <w:r w:rsidRPr="002B4E2B">
        <w:rPr>
          <w:rFonts w:ascii="Times New Roman" w:hAnsi="Times New Roman"/>
          <w:i/>
          <w:color w:val="auto"/>
          <w:sz w:val="28"/>
        </w:rPr>
        <w:t>Limitations and Simplifications</w:t>
      </w:r>
      <w:bookmarkEnd w:id="3"/>
    </w:p>
    <w:p w:rsidR="00D35AF8" w:rsidRPr="00EF6EF8" w:rsidRDefault="00D35AF8" w:rsidP="00D35AF8">
      <w:pPr>
        <w:pStyle w:val="Heading2"/>
        <w:rPr>
          <w:rFonts w:ascii="Times New Roman" w:hAnsi="Times New Roman"/>
          <w:color w:val="auto"/>
          <w:sz w:val="24"/>
        </w:rPr>
      </w:pPr>
      <w:r w:rsidRPr="00EF6EF8">
        <w:rPr>
          <w:rFonts w:ascii="Times New Roman" w:hAnsi="Times New Roman"/>
          <w:color w:val="auto"/>
          <w:sz w:val="24"/>
        </w:rPr>
        <w:t>Limitations:</w:t>
      </w:r>
    </w:p>
    <w:p w:rsidR="00D35AF8" w:rsidRDefault="00D35AF8" w:rsidP="00D35AF8">
      <w:pPr>
        <w:pStyle w:val="Heading2"/>
        <w:rPr>
          <w:rFonts w:ascii="Times New Roman" w:hAnsi="Times New Roman"/>
          <w:b w:val="0"/>
          <w:color w:val="auto"/>
          <w:sz w:val="24"/>
        </w:rPr>
      </w:pPr>
      <w:r>
        <w:rPr>
          <w:rFonts w:ascii="Times New Roman" w:hAnsi="Times New Roman"/>
          <w:b w:val="0"/>
          <w:color w:val="auto"/>
          <w:sz w:val="24"/>
        </w:rPr>
        <w:t xml:space="preserve">1. </w:t>
      </w:r>
      <w:r w:rsidRPr="00036F4B">
        <w:rPr>
          <w:rFonts w:ascii="Times New Roman" w:hAnsi="Times New Roman"/>
          <w:color w:val="auto"/>
          <w:sz w:val="24"/>
        </w:rPr>
        <w:t>Results are limited by data quality</w:t>
      </w:r>
      <w:r>
        <w:rPr>
          <w:rFonts w:ascii="Times New Roman" w:hAnsi="Times New Roman"/>
          <w:b w:val="0"/>
          <w:color w:val="auto"/>
          <w:sz w:val="24"/>
        </w:rPr>
        <w:t xml:space="preserve">: The accuracy of the </w:t>
      </w:r>
      <w:r w:rsidR="009533EC">
        <w:rPr>
          <w:rFonts w:ascii="Times New Roman" w:hAnsi="Times New Roman"/>
          <w:b w:val="0"/>
          <w:color w:val="auto"/>
          <w:sz w:val="24"/>
        </w:rPr>
        <w:t xml:space="preserve">model </w:t>
      </w:r>
      <w:r>
        <w:rPr>
          <w:rFonts w:ascii="Times New Roman" w:hAnsi="Times New Roman"/>
          <w:b w:val="0"/>
          <w:color w:val="auto"/>
          <w:sz w:val="24"/>
        </w:rPr>
        <w:t xml:space="preserve">results is limited by the availability and quality of input data. Using high quality data such as </w:t>
      </w:r>
      <w:r w:rsidR="009533EC">
        <w:rPr>
          <w:rFonts w:ascii="Times New Roman" w:hAnsi="Times New Roman"/>
          <w:b w:val="0"/>
          <w:color w:val="auto"/>
          <w:sz w:val="24"/>
        </w:rPr>
        <w:t xml:space="preserve">those </w:t>
      </w:r>
      <w:r>
        <w:rPr>
          <w:rFonts w:ascii="Times New Roman" w:hAnsi="Times New Roman"/>
          <w:b w:val="0"/>
          <w:color w:val="auto"/>
          <w:sz w:val="24"/>
        </w:rPr>
        <w:t>from local assessments replicated at several sites within the study region for the species in question within the last ten years will yield more accurate results than using lower quality data that are c</w:t>
      </w:r>
      <w:r w:rsidR="00DA3A5C">
        <w:rPr>
          <w:rFonts w:ascii="Times New Roman" w:hAnsi="Times New Roman"/>
          <w:b w:val="0"/>
          <w:color w:val="auto"/>
          <w:sz w:val="24"/>
        </w:rPr>
        <w:t xml:space="preserve">ollected at a distant location </w:t>
      </w:r>
      <w:r>
        <w:rPr>
          <w:rFonts w:ascii="Times New Roman" w:hAnsi="Times New Roman"/>
          <w:b w:val="0"/>
          <w:color w:val="auto"/>
          <w:sz w:val="24"/>
        </w:rPr>
        <w:t xml:space="preserve">with limited spatial or temporal coverage. </w:t>
      </w:r>
      <w:r w:rsidR="00DB0BD6">
        <w:rPr>
          <w:rFonts w:ascii="Times New Roman" w:hAnsi="Times New Roman"/>
          <w:b w:val="0"/>
          <w:color w:val="auto"/>
          <w:sz w:val="24"/>
        </w:rPr>
        <w:t>In most cases, u</w:t>
      </w:r>
      <w:r w:rsidR="00351F6E">
        <w:rPr>
          <w:rFonts w:ascii="Times New Roman" w:hAnsi="Times New Roman"/>
          <w:b w:val="0"/>
          <w:color w:val="auto"/>
          <w:sz w:val="24"/>
        </w:rPr>
        <w:t xml:space="preserve">sers will </w:t>
      </w:r>
      <w:r w:rsidR="007513FC">
        <w:rPr>
          <w:rFonts w:ascii="Times New Roman" w:hAnsi="Times New Roman"/>
          <w:b w:val="0"/>
          <w:color w:val="auto"/>
          <w:sz w:val="24"/>
        </w:rPr>
        <w:t xml:space="preserve">need </w:t>
      </w:r>
      <w:r w:rsidR="00351F6E">
        <w:rPr>
          <w:rFonts w:ascii="Times New Roman" w:hAnsi="Times New Roman"/>
          <w:b w:val="0"/>
          <w:color w:val="auto"/>
          <w:sz w:val="24"/>
        </w:rPr>
        <w:t>to use data from other geographic locations for some of the stressor-habitat combinations because most of the data on the effe</w:t>
      </w:r>
      <w:r w:rsidR="00DA3A5C">
        <w:rPr>
          <w:rFonts w:ascii="Times New Roman" w:hAnsi="Times New Roman"/>
          <w:b w:val="0"/>
          <w:color w:val="auto"/>
          <w:sz w:val="24"/>
        </w:rPr>
        <w:t>cts of some stressors have only been collected in a</w:t>
      </w:r>
      <w:r w:rsidR="00351F6E">
        <w:rPr>
          <w:rFonts w:ascii="Times New Roman" w:hAnsi="Times New Roman"/>
          <w:b w:val="0"/>
          <w:color w:val="auto"/>
          <w:sz w:val="24"/>
        </w:rPr>
        <w:t xml:space="preserve"> limited number of locations</w:t>
      </w:r>
      <w:r w:rsidR="00DA3A5C">
        <w:rPr>
          <w:rFonts w:ascii="Times New Roman" w:hAnsi="Times New Roman"/>
          <w:b w:val="0"/>
          <w:color w:val="auto"/>
          <w:sz w:val="24"/>
        </w:rPr>
        <w:t xml:space="preserve"> worldwide</w:t>
      </w:r>
      <w:r w:rsidR="00351F6E">
        <w:rPr>
          <w:rFonts w:ascii="Times New Roman" w:hAnsi="Times New Roman"/>
          <w:b w:val="0"/>
          <w:color w:val="auto"/>
          <w:sz w:val="24"/>
        </w:rPr>
        <w:t xml:space="preserve">. To overcome these data limitations, we include a data quality score in the </w:t>
      </w:r>
      <w:r w:rsidR="00DA3A5C">
        <w:rPr>
          <w:rFonts w:ascii="Times New Roman" w:hAnsi="Times New Roman"/>
          <w:b w:val="0"/>
          <w:color w:val="auto"/>
          <w:sz w:val="24"/>
        </w:rPr>
        <w:t>analysis</w:t>
      </w:r>
      <w:r w:rsidR="00DB0BD6">
        <w:rPr>
          <w:rFonts w:ascii="Times New Roman" w:hAnsi="Times New Roman"/>
          <w:b w:val="0"/>
          <w:color w:val="auto"/>
          <w:sz w:val="24"/>
        </w:rPr>
        <w:t xml:space="preserve">.  This score </w:t>
      </w:r>
      <w:r w:rsidR="00351F6E">
        <w:rPr>
          <w:rFonts w:ascii="Times New Roman" w:hAnsi="Times New Roman"/>
          <w:b w:val="0"/>
          <w:color w:val="auto"/>
          <w:sz w:val="24"/>
        </w:rPr>
        <w:t>allows users to down-weight criteria for which data quality is low. In addition, the uncertainty associated with data quality is displayed visually in the model outputs (e.g. results derived from high quali</w:t>
      </w:r>
      <w:r w:rsidR="00DA3A5C">
        <w:rPr>
          <w:rFonts w:ascii="Times New Roman" w:hAnsi="Times New Roman"/>
          <w:b w:val="0"/>
          <w:color w:val="auto"/>
          <w:sz w:val="24"/>
        </w:rPr>
        <w:t>ty data are displayed in green vs. low quality data in red).</w:t>
      </w:r>
    </w:p>
    <w:p w:rsidR="00D35AF8" w:rsidRDefault="00D35AF8" w:rsidP="00D35AF8">
      <w:pPr>
        <w:pStyle w:val="Heading2"/>
        <w:rPr>
          <w:rFonts w:ascii="Times New Roman" w:hAnsi="Times New Roman"/>
          <w:b w:val="0"/>
          <w:color w:val="auto"/>
          <w:sz w:val="24"/>
        </w:rPr>
      </w:pPr>
      <w:r>
        <w:rPr>
          <w:rFonts w:ascii="Times New Roman" w:hAnsi="Times New Roman"/>
          <w:b w:val="0"/>
          <w:color w:val="auto"/>
          <w:sz w:val="24"/>
        </w:rPr>
        <w:t xml:space="preserve">2. </w:t>
      </w:r>
      <w:r w:rsidRPr="00036F4B">
        <w:rPr>
          <w:rFonts w:ascii="Times New Roman" w:hAnsi="Times New Roman"/>
          <w:color w:val="auto"/>
          <w:sz w:val="24"/>
        </w:rPr>
        <w:t>Results should be interpreted on a relative scale</w:t>
      </w:r>
      <w:r>
        <w:rPr>
          <w:rFonts w:ascii="Times New Roman" w:hAnsi="Times New Roman"/>
          <w:b w:val="0"/>
          <w:color w:val="auto"/>
          <w:sz w:val="24"/>
        </w:rPr>
        <w:t xml:space="preserve">: Due to the nature of the scoring process, results can be used to compare the risk of several human activities </w:t>
      </w:r>
      <w:r w:rsidR="00CE0BFF">
        <w:rPr>
          <w:rFonts w:ascii="Times New Roman" w:hAnsi="Times New Roman"/>
          <w:b w:val="0"/>
          <w:color w:val="auto"/>
          <w:sz w:val="24"/>
        </w:rPr>
        <w:t>among several habitats within the study region (which can range in size from small local scales to a global scale)</w:t>
      </w:r>
      <w:r>
        <w:rPr>
          <w:rFonts w:ascii="Times New Roman" w:hAnsi="Times New Roman"/>
          <w:b w:val="0"/>
          <w:color w:val="auto"/>
          <w:sz w:val="24"/>
        </w:rPr>
        <w:t>, but should not be used to compare risk across study regions</w:t>
      </w:r>
      <w:r w:rsidR="00CE0BFF">
        <w:rPr>
          <w:rFonts w:ascii="Times New Roman" w:hAnsi="Times New Roman"/>
          <w:b w:val="0"/>
          <w:color w:val="auto"/>
          <w:sz w:val="24"/>
        </w:rPr>
        <w:t xml:space="preserve"> in separate analyses.</w:t>
      </w:r>
    </w:p>
    <w:p w:rsidR="00D35AF8" w:rsidRDefault="00D35AF8" w:rsidP="00D35AF8"/>
    <w:p w:rsidR="00D35AF8" w:rsidRDefault="00D35AF8" w:rsidP="00D35AF8">
      <w:r>
        <w:t xml:space="preserve">3. </w:t>
      </w:r>
      <w:r w:rsidRPr="00036F4B">
        <w:rPr>
          <w:b/>
        </w:rPr>
        <w:t>Results do not reflect the effects of past human activities</w:t>
      </w:r>
      <w:r>
        <w:t xml:space="preserve">. The </w:t>
      </w:r>
      <w:r w:rsidR="00E8149A">
        <w:t>HRA</w:t>
      </w:r>
      <w:r>
        <w:t xml:space="preserve"> model does not explicitly account for the effects of historical human activities on the current risk. Exposure to human activities in the past may affect the consequence of human activities in the present and future. If users have historical data on the exposure of habitats to human activities (e.g. spatial and temporal extent), and information on how this affects current consequence scores, they may include this information in the analysis for more accurate results. </w:t>
      </w:r>
    </w:p>
    <w:p w:rsidR="00722FCB" w:rsidRDefault="00722FCB" w:rsidP="00D35AF8"/>
    <w:p w:rsidR="00521A43" w:rsidRDefault="00DA3A5C" w:rsidP="00D35AF8">
      <w:r>
        <w:t>4</w:t>
      </w:r>
      <w:r w:rsidR="00722FCB">
        <w:t>.</w:t>
      </w:r>
      <w:r w:rsidR="00521A43">
        <w:t xml:space="preserve"> </w:t>
      </w:r>
      <w:r w:rsidRPr="00521A43">
        <w:rPr>
          <w:b/>
        </w:rPr>
        <w:t>Results are based on equal weighting of criteria</w:t>
      </w:r>
      <w:r w:rsidR="0034391C">
        <w:t xml:space="preserve">. The model calculates the exposure and consequence scores assuming </w:t>
      </w:r>
      <w:r w:rsidR="00521A43">
        <w:t>that the effect of each criterion</w:t>
      </w:r>
      <w:r w:rsidR="0034391C">
        <w:t xml:space="preserve"> (i.e. sp</w:t>
      </w:r>
      <w:r w:rsidR="00521A43">
        <w:t>atial overlap and recruitment pattern</w:t>
      </w:r>
      <w:r w:rsidR="0034391C">
        <w:t>) is of equal importance in deter</w:t>
      </w:r>
      <w:r w:rsidR="00521A43">
        <w:t xml:space="preserve">mining risk. The relative importance of each of the criteria is poorly understood, so we assume equal importance. However, in future releases </w:t>
      </w:r>
      <w:r w:rsidR="00DB0BD6">
        <w:t>for the model will allow</w:t>
      </w:r>
      <w:r w:rsidR="00521A43">
        <w:t xml:space="preserve"> users to weight the importance of each criterion in determining overall risk.</w:t>
      </w:r>
    </w:p>
    <w:p w:rsidR="00521A43" w:rsidRDefault="00521A43" w:rsidP="00D35AF8"/>
    <w:p w:rsidR="00D35AF8" w:rsidRPr="00EF6EF8" w:rsidRDefault="00D35AF8" w:rsidP="00D35AF8">
      <w:pPr>
        <w:rPr>
          <w:b/>
        </w:rPr>
      </w:pPr>
      <w:r w:rsidRPr="00EF6EF8">
        <w:rPr>
          <w:b/>
        </w:rPr>
        <w:lastRenderedPageBreak/>
        <w:t>Assumptions:</w:t>
      </w:r>
    </w:p>
    <w:p w:rsidR="00D35AF8" w:rsidRDefault="00D35AF8" w:rsidP="00D35AF8"/>
    <w:p w:rsidR="00D35AF8" w:rsidRPr="005E478D" w:rsidRDefault="00D35AF8" w:rsidP="00D35AF8">
      <w:r>
        <w:t xml:space="preserve">1. </w:t>
      </w:r>
      <w:r w:rsidR="00290BAC">
        <w:t xml:space="preserve">Often information in the literature about the effect stressors on habitats comes from only a few locations.  </w:t>
      </w:r>
      <w:r>
        <w:t>If using globally available data</w:t>
      </w:r>
      <w:r w:rsidR="00290BAC">
        <w:t xml:space="preserve"> or data from other locations</w:t>
      </w:r>
      <w:r>
        <w:t xml:space="preserve">, users make the assumption that </w:t>
      </w:r>
      <w:r w:rsidR="002B4E2B" w:rsidRPr="002B4E2B">
        <w:rPr>
          <w:b/>
          <w:i/>
        </w:rPr>
        <w:t>ecosystems around the world respond in similar ways to any given stressor</w:t>
      </w:r>
      <w:r>
        <w:t xml:space="preserve"> (i.e. eelgrass in the Mediterranean responds to </w:t>
      </w:r>
      <w:proofErr w:type="spellStart"/>
      <w:r>
        <w:t>netpen</w:t>
      </w:r>
      <w:proofErr w:type="spellEnd"/>
      <w:r>
        <w:t xml:space="preserve"> aquaculture in the same way as eelgrass in British Columbia). To avoid making this assumption</w:t>
      </w:r>
      <w:r w:rsidR="00DB0BD6">
        <w:t xml:space="preserve"> across the board</w:t>
      </w:r>
      <w:r>
        <w:t>, users should use local data whenever possible.</w:t>
      </w:r>
    </w:p>
    <w:p w:rsidR="00D35AF8" w:rsidRDefault="00D35AF8" w:rsidP="00D35AF8"/>
    <w:p w:rsidR="00D35AF8" w:rsidRPr="004E08AA" w:rsidRDefault="00D35AF8" w:rsidP="00D35AF8">
      <w:r>
        <w:t xml:space="preserve">2. </w:t>
      </w:r>
      <w:r w:rsidRPr="00EF6EF8">
        <w:rPr>
          <w:b/>
        </w:rPr>
        <w:t>Cumulative risk is additive (vs. synergistic or antagonistic)</w:t>
      </w:r>
      <w:r>
        <w:t xml:space="preserve">. The interaction of multiple stressors on marine ecosystems is poorly understood (see </w:t>
      </w:r>
      <w:r w:rsidRPr="00865D02">
        <w:t>Crain et al. 200</w:t>
      </w:r>
      <w:r w:rsidR="00865D02" w:rsidRPr="00865D02">
        <w:t>8</w:t>
      </w:r>
      <w:r>
        <w:t xml:space="preserve"> for more information). Interactions may be additive, synergistic or antagonistic. However, our ability to predict the type of interaction that will occur is limited. </w:t>
      </w:r>
      <w:r w:rsidR="00733860">
        <w:t xml:space="preserve">Due to the </w:t>
      </w:r>
      <w:r w:rsidR="00A67B54">
        <w:t>absence</w:t>
      </w:r>
      <w:r w:rsidR="00733860">
        <w:t xml:space="preserve"> of reliable information on the conditions that determine </w:t>
      </w:r>
      <w:proofErr w:type="spellStart"/>
      <w:r w:rsidR="00733860">
        <w:t>additivity</w:t>
      </w:r>
      <w:proofErr w:type="spellEnd"/>
      <w:r w:rsidR="00733860">
        <w:t xml:space="preserve">, synergism or antagonism, the model assumes </w:t>
      </w:r>
      <w:proofErr w:type="spellStart"/>
      <w:r w:rsidR="00733860">
        <w:t>additivity</w:t>
      </w:r>
      <w:proofErr w:type="spellEnd"/>
      <w:r w:rsidR="00733860">
        <w:t xml:space="preserve"> because it is the simplest approach. </w:t>
      </w:r>
      <w:r>
        <w:t>As a result, the model may over- or under-estimate the cumulative risk depending on the set of stressors</w:t>
      </w:r>
      <w:r w:rsidR="00774D98">
        <w:t xml:space="preserve"> occurring in the study region.</w:t>
      </w:r>
    </w:p>
    <w:p w:rsidR="00FC6BFD" w:rsidRPr="005E727F" w:rsidRDefault="00FC6BFD" w:rsidP="00FC6BFD">
      <w:pPr>
        <w:pStyle w:val="Heading1"/>
        <w:rPr>
          <w:rFonts w:ascii="Times New Roman" w:hAnsi="Times New Roman" w:cs="Times New Roman"/>
          <w:i/>
          <w:color w:val="auto"/>
        </w:rPr>
      </w:pPr>
      <w:bookmarkStart w:id="4" w:name="_Toc278004930"/>
      <w:r w:rsidRPr="005E727F">
        <w:rPr>
          <w:rFonts w:ascii="Times New Roman" w:hAnsi="Times New Roman" w:cs="Times New Roman"/>
          <w:i/>
          <w:color w:val="auto"/>
        </w:rPr>
        <w:t>Data Needs</w:t>
      </w:r>
    </w:p>
    <w:p w:rsidR="00FC6BFD" w:rsidRDefault="00FC6BFD" w:rsidP="00FC6BFD">
      <w:pPr>
        <w:jc w:val="both"/>
      </w:pPr>
    </w:p>
    <w:p w:rsidR="00FC6BFD" w:rsidRPr="007D32E3" w:rsidRDefault="00FC6BFD" w:rsidP="00FC6BFD">
      <w:pPr>
        <w:jc w:val="both"/>
      </w:pPr>
      <w:r w:rsidRPr="004E325E">
        <w:t xml:space="preserve">The model uses an interface to input all required and optional model data.  Here we outline the </w:t>
      </w:r>
      <w:r w:rsidRPr="007D32E3">
        <w:t>options presented to the user via the interface and the maps and data tables used by the model.  First we describe required inputs, followed by a description of optional inputs.</w:t>
      </w:r>
    </w:p>
    <w:p w:rsidR="00FC6BFD" w:rsidRDefault="00FC6BFD" w:rsidP="00FC6BFD"/>
    <w:p w:rsidR="00FC6BFD" w:rsidRPr="00D94306" w:rsidRDefault="00FC6BFD" w:rsidP="00FC6BFD">
      <w:pPr>
        <w:jc w:val="both"/>
        <w:rPr>
          <w:b/>
        </w:rPr>
      </w:pPr>
      <w:r w:rsidRPr="00D94306">
        <w:rPr>
          <w:b/>
        </w:rPr>
        <w:t>Grid the Seascape Tool</w:t>
      </w:r>
    </w:p>
    <w:p w:rsidR="00FC6BFD" w:rsidRDefault="00FC6BFD" w:rsidP="00FC6BFD">
      <w:pPr>
        <w:jc w:val="both"/>
      </w:pPr>
      <w:r>
        <w:t xml:space="preserve">Before running the HRA model, users must provide an area of interest (AOI) and cell size to Grid the Seascape (GS).  To run the GS tool, the user must create a polygon AOI that is projected meters. You can create an AOI </w:t>
      </w:r>
      <w:proofErr w:type="spellStart"/>
      <w:r>
        <w:t>shapefile</w:t>
      </w:r>
      <w:proofErr w:type="spellEnd"/>
      <w:r>
        <w:t xml:space="preserve"> by following the </w:t>
      </w:r>
      <w:r w:rsidRPr="00007F9E">
        <w:rPr>
          <w:b/>
        </w:rPr>
        <w:t>Creating an AOI</w:t>
      </w:r>
      <w:r w:rsidRPr="0017118C">
        <w:rPr>
          <w:i/>
        </w:rPr>
        <w:t xml:space="preserve"> </w:t>
      </w:r>
      <w:r>
        <w:t xml:space="preserve">instructions </w:t>
      </w:r>
      <w:r w:rsidRPr="000E2C41">
        <w:t xml:space="preserve">in the </w:t>
      </w:r>
      <w:r w:rsidRPr="000E2C41">
        <w:rPr>
          <w:b/>
        </w:rPr>
        <w:t>FAQ</w:t>
      </w:r>
      <w:r w:rsidRPr="000B79C2">
        <w:rPr>
          <w:b/>
        </w:rPr>
        <w:t xml:space="preserve"> document</w:t>
      </w:r>
      <w:r>
        <w:t xml:space="preserve"> (</w:t>
      </w:r>
      <w:hyperlink r:id="rId13" w:history="1">
        <w:r w:rsidRPr="00876B2B">
          <w:rPr>
            <w:rStyle w:val="Hyperlink"/>
          </w:rPr>
          <w:t>http://invest.ecoinformatics.org</w:t>
        </w:r>
      </w:hyperlink>
      <w:r>
        <w:t>).  After providing a workspace location and AOI, select a cell size to define width and height of each unique grid cell.  By specifying “500” in the interface, an analysis grid within the AOI at a cell size of 500m x 500m will be created.</w:t>
      </w:r>
    </w:p>
    <w:p w:rsidR="00FC6BFD" w:rsidRDefault="00FC6BFD" w:rsidP="00FC6BFD">
      <w:pPr>
        <w:jc w:val="center"/>
        <w:rPr>
          <w:noProof/>
        </w:rPr>
      </w:pPr>
      <w:r>
        <w:rPr>
          <w:noProof/>
        </w:rPr>
        <w:lastRenderedPageBreak/>
        <w:drawing>
          <wp:inline distT="0" distB="0" distL="0" distR="0" wp14:anchorId="5BA1CFEB" wp14:editId="69B262B4">
            <wp:extent cx="3952875" cy="2314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52875" cy="2314575"/>
                    </a:xfrm>
                    <a:prstGeom prst="rect">
                      <a:avLst/>
                    </a:prstGeom>
                  </pic:spPr>
                </pic:pic>
              </a:graphicData>
            </a:graphic>
          </wp:inline>
        </w:drawing>
      </w:r>
    </w:p>
    <w:p w:rsidR="00FC6BFD" w:rsidRPr="002E5B45" w:rsidRDefault="00FC6BFD" w:rsidP="00FC6BFD"/>
    <w:p w:rsidR="00FC6BFD" w:rsidRPr="00DD0F5F" w:rsidRDefault="00FC6BFD" w:rsidP="00FC6BFD">
      <w:pPr>
        <w:jc w:val="both"/>
        <w:rPr>
          <w:b/>
        </w:rPr>
      </w:pPr>
      <w:r w:rsidRPr="00DD0F5F">
        <w:rPr>
          <w:b/>
        </w:rPr>
        <w:t>A. Required Inputs</w:t>
      </w:r>
    </w:p>
    <w:p w:rsidR="00FC6BFD" w:rsidRPr="00DD0F5F" w:rsidRDefault="00FC6BFD" w:rsidP="00FC6BFD">
      <w:pPr>
        <w:jc w:val="both"/>
      </w:pPr>
      <w:r w:rsidRPr="00DD0F5F">
        <w:t xml:space="preserve">First we describe required inputs.  The required inputs are the minimum </w:t>
      </w:r>
      <w:r>
        <w:t>data needed to run this model.</w:t>
      </w:r>
    </w:p>
    <w:p w:rsidR="00FC6BFD" w:rsidRPr="002E5B45" w:rsidRDefault="00FC6BFD" w:rsidP="00FC6BFD"/>
    <w:p w:rsidR="00FC6BFD" w:rsidRPr="002E5B45" w:rsidRDefault="00FC6BFD" w:rsidP="00FC6BFD">
      <w:pPr>
        <w:numPr>
          <w:ilvl w:val="0"/>
          <w:numId w:val="1"/>
        </w:numPr>
        <w:suppressAutoHyphens/>
      </w:pPr>
      <w:r w:rsidRPr="002E5B45">
        <w:rPr>
          <w:b/>
        </w:rPr>
        <w:t>Workspace Location (required).</w:t>
      </w:r>
      <w:r w:rsidRPr="002E5B45">
        <w:t xml:space="preserve"> </w:t>
      </w:r>
      <w:r w:rsidRPr="00B74F1A">
        <w:t>Users are required to specify a workspace folder path.  It is recommended that the user create a new folder for each run of the model.  For example, by creating a folder called “</w:t>
      </w:r>
      <w:proofErr w:type="spellStart"/>
      <w:r w:rsidRPr="00B74F1A">
        <w:t>runBC</w:t>
      </w:r>
      <w:proofErr w:type="spellEnd"/>
      <w:r w:rsidRPr="00B74F1A">
        <w:t>” within the “</w:t>
      </w:r>
      <w:proofErr w:type="spellStart"/>
      <w:r>
        <w:t>HabitatRiskAssess</w:t>
      </w:r>
      <w:proofErr w:type="spellEnd"/>
      <w:r w:rsidRPr="00B74F1A">
        <w:t>” folder, the model will create “intermediate” and “output” folders within this “</w:t>
      </w:r>
      <w:proofErr w:type="spellStart"/>
      <w:r w:rsidRPr="00B74F1A">
        <w:t>runBC</w:t>
      </w:r>
      <w:proofErr w:type="spellEnd"/>
      <w:r w:rsidRPr="00B74F1A">
        <w:t>” workspace.  The “intermediate” folder will compartmentalize data from intermediate processes.  The model’s final outputs will be stored in the “output” folder.</w:t>
      </w:r>
    </w:p>
    <w:p w:rsidR="00FC6BFD" w:rsidRPr="002E5B45" w:rsidRDefault="00FC6BFD" w:rsidP="00FC6BFD">
      <w:pPr>
        <w:suppressAutoHyphens/>
        <w:ind w:left="360"/>
      </w:pPr>
    </w:p>
    <w:p w:rsidR="00FC6BFD" w:rsidRPr="002E5B45" w:rsidRDefault="00FC6BFD" w:rsidP="00FC6BFD">
      <w:pPr>
        <w:ind w:left="720"/>
        <w:rPr>
          <w:u w:val="single"/>
        </w:rPr>
      </w:pPr>
      <w:r w:rsidRPr="002E5B45">
        <w:rPr>
          <w:u w:val="single"/>
        </w:rPr>
        <w:t>Name</w:t>
      </w:r>
      <w:r w:rsidRPr="002E5B45">
        <w:t xml:space="preserve">: </w:t>
      </w:r>
      <w:r>
        <w:t>P</w:t>
      </w:r>
      <w:r w:rsidRPr="002E5B45">
        <w:t xml:space="preserve">ath to a workspace folder.  Avoid spaces </w:t>
      </w:r>
    </w:p>
    <w:p w:rsidR="00FC6BFD" w:rsidRPr="002E5B45" w:rsidRDefault="00FC6BFD" w:rsidP="00FC6BFD">
      <w:pPr>
        <w:ind w:left="720"/>
      </w:pPr>
      <w:r w:rsidRPr="007817CF">
        <w:rPr>
          <w:b/>
          <w:bCs/>
          <w:u w:val="single"/>
        </w:rPr>
        <w:t>Sample path</w:t>
      </w:r>
      <w:r w:rsidRPr="007817CF">
        <w:rPr>
          <w:b/>
          <w:bCs/>
        </w:rPr>
        <w:t>:</w:t>
      </w:r>
      <w:r w:rsidRPr="002E5B45">
        <w:t xml:space="preserve">  \</w:t>
      </w:r>
      <w:proofErr w:type="spellStart"/>
      <w:r>
        <w:t>I</w:t>
      </w:r>
      <w:r w:rsidRPr="002E5B45">
        <w:t>nVEST</w:t>
      </w:r>
      <w:proofErr w:type="spellEnd"/>
      <w:r w:rsidRPr="002E5B45">
        <w:t>\</w:t>
      </w:r>
      <w:r w:rsidRPr="00570E51">
        <w:t xml:space="preserve"> </w:t>
      </w:r>
      <w:proofErr w:type="spellStart"/>
      <w:r>
        <w:t>HabitatRiskAssess</w:t>
      </w:r>
      <w:proofErr w:type="spellEnd"/>
      <w:r>
        <w:t>\</w:t>
      </w:r>
      <w:proofErr w:type="spellStart"/>
      <w:r>
        <w:t>runBC</w:t>
      </w:r>
      <w:proofErr w:type="spellEnd"/>
    </w:p>
    <w:p w:rsidR="00FC6BFD" w:rsidRPr="002E5B45" w:rsidRDefault="00FC6BFD" w:rsidP="00FC6BFD">
      <w:pPr>
        <w:rPr>
          <w:b/>
          <w:bCs/>
          <w:u w:val="single"/>
        </w:rPr>
      </w:pPr>
    </w:p>
    <w:p w:rsidR="00FC6BFD" w:rsidRPr="002E5B45" w:rsidRDefault="00FC6BFD" w:rsidP="00FC6BFD">
      <w:pPr>
        <w:numPr>
          <w:ilvl w:val="0"/>
          <w:numId w:val="1"/>
        </w:numPr>
        <w:suppressAutoHyphens/>
      </w:pPr>
      <w:r>
        <w:rPr>
          <w:b/>
        </w:rPr>
        <w:t xml:space="preserve">Gridded Seascape (GS) Output Layer (required).  </w:t>
      </w:r>
      <w:r w:rsidRPr="002E5B45">
        <w:t xml:space="preserve"> </w:t>
      </w:r>
      <w:r>
        <w:t xml:space="preserve">After running the “Grid the Seascape” (GS) tool, a polygon </w:t>
      </w:r>
      <w:proofErr w:type="spellStart"/>
      <w:r>
        <w:t>shapefile</w:t>
      </w:r>
      <w:proofErr w:type="spellEnd"/>
      <w:r>
        <w:t xml:space="preserve"> will be created that contains cells of a user-specified size to instruct the HRA model as to the </w:t>
      </w:r>
      <w:r w:rsidRPr="00753240">
        <w:t>extent</w:t>
      </w:r>
      <w:r>
        <w:t xml:space="preserve"> and resolution of analysis.  For this input, select the </w:t>
      </w:r>
      <w:proofErr w:type="spellStart"/>
      <w:r>
        <w:t>shapefile</w:t>
      </w:r>
      <w:proofErr w:type="spellEnd"/>
      <w:r>
        <w:t xml:space="preserve"> found in the “Output” folder from a successful GS tool run.</w:t>
      </w:r>
    </w:p>
    <w:p w:rsidR="00FC6BFD" w:rsidRPr="002E5B45" w:rsidRDefault="00FC6BFD" w:rsidP="00FC6BFD">
      <w:pPr>
        <w:ind w:left="720"/>
        <w:rPr>
          <w:u w:val="single"/>
        </w:rPr>
      </w:pPr>
    </w:p>
    <w:p w:rsidR="00FC6BFD" w:rsidRPr="002E5B45" w:rsidRDefault="00FC6BFD" w:rsidP="00FC6BFD">
      <w:pPr>
        <w:ind w:left="720"/>
      </w:pPr>
      <w:r w:rsidRPr="00960284">
        <w:rPr>
          <w:u w:val="single"/>
        </w:rPr>
        <w:t>Name</w:t>
      </w:r>
      <w:r w:rsidRPr="00960284">
        <w:t xml:space="preserve">: </w:t>
      </w:r>
      <w:r w:rsidRPr="00FB44C1">
        <w:t>File can be named anything, but no spaces in the name</w:t>
      </w:r>
    </w:p>
    <w:p w:rsidR="00FC6BFD" w:rsidRPr="002E5B45" w:rsidRDefault="00FC6BFD" w:rsidP="00FC6BFD">
      <w:pPr>
        <w:ind w:left="720"/>
        <w:rPr>
          <w:u w:val="single"/>
        </w:rPr>
      </w:pPr>
      <w:r w:rsidRPr="00960284">
        <w:rPr>
          <w:u w:val="single"/>
        </w:rPr>
        <w:t>File type</w:t>
      </w:r>
      <w:r w:rsidRPr="00960284">
        <w:t xml:space="preserve">:  </w:t>
      </w:r>
      <w:r w:rsidRPr="00D853E0">
        <w:t xml:space="preserve">polygon </w:t>
      </w:r>
      <w:proofErr w:type="spellStart"/>
      <w:r w:rsidRPr="00D853E0">
        <w:t>shapefile</w:t>
      </w:r>
      <w:proofErr w:type="spellEnd"/>
      <w:r>
        <w:t xml:space="preserve"> (.</w:t>
      </w:r>
      <w:proofErr w:type="spellStart"/>
      <w:r>
        <w:t>shp</w:t>
      </w:r>
      <w:proofErr w:type="spellEnd"/>
      <w:r>
        <w:t>)</w:t>
      </w:r>
    </w:p>
    <w:p w:rsidR="00FC6BFD" w:rsidRDefault="00FC6BFD" w:rsidP="00FC6BFD">
      <w:pPr>
        <w:ind w:left="720"/>
      </w:pPr>
      <w:r w:rsidRPr="007817CF">
        <w:rPr>
          <w:b/>
          <w:bCs/>
          <w:u w:val="single"/>
        </w:rPr>
        <w:t>Sample</w:t>
      </w:r>
      <w:r>
        <w:rPr>
          <w:b/>
          <w:bCs/>
          <w:u w:val="single"/>
        </w:rPr>
        <w:t xml:space="preserve"> data set</w:t>
      </w:r>
      <w:r w:rsidRPr="007817CF">
        <w:rPr>
          <w:b/>
          <w:bCs/>
        </w:rPr>
        <w:t>:</w:t>
      </w:r>
      <w:r w:rsidRPr="00960284">
        <w:t xml:space="preserve">  \</w:t>
      </w:r>
      <w:proofErr w:type="spellStart"/>
      <w:r w:rsidRPr="00960284">
        <w:t>InVEST</w:t>
      </w:r>
      <w:proofErr w:type="spellEnd"/>
      <w:r w:rsidRPr="00960284">
        <w:t>\</w:t>
      </w:r>
      <w:proofErr w:type="spellStart"/>
      <w:r>
        <w:t>GridSeascape</w:t>
      </w:r>
      <w:proofErr w:type="spellEnd"/>
      <w:r w:rsidRPr="00960284">
        <w:t>\</w:t>
      </w:r>
      <w:r>
        <w:t>BC500m\Output\</w:t>
      </w:r>
      <w:proofErr w:type="spellStart"/>
      <w:r>
        <w:t>gs</w:t>
      </w:r>
      <w:proofErr w:type="spellEnd"/>
      <w:r>
        <w:t>_[</w:t>
      </w:r>
      <w:proofErr w:type="spellStart"/>
      <w:r>
        <w:t>cellsize</w:t>
      </w:r>
      <w:proofErr w:type="spellEnd"/>
      <w:r>
        <w:t>].</w:t>
      </w:r>
      <w:proofErr w:type="spellStart"/>
      <w:r>
        <w:t>shp</w:t>
      </w:r>
      <w:proofErr w:type="spellEnd"/>
    </w:p>
    <w:p w:rsidR="00FC6BFD" w:rsidRDefault="00FC6BFD" w:rsidP="00FC6BFD">
      <w:pPr>
        <w:ind w:left="720"/>
      </w:pPr>
    </w:p>
    <w:p w:rsidR="00FC6BFD" w:rsidRDefault="00FC6BFD" w:rsidP="00FC6BFD">
      <w:pPr>
        <w:numPr>
          <w:ilvl w:val="0"/>
          <w:numId w:val="1"/>
        </w:numPr>
        <w:suppressAutoHyphens/>
      </w:pPr>
      <w:r w:rsidRPr="002E5B45">
        <w:rPr>
          <w:b/>
        </w:rPr>
        <w:t xml:space="preserve">Habitat </w:t>
      </w:r>
      <w:r>
        <w:rPr>
          <w:b/>
        </w:rPr>
        <w:t>Data Directory</w:t>
      </w:r>
      <w:r w:rsidRPr="002E5B45">
        <w:rPr>
          <w:b/>
        </w:rPr>
        <w:t xml:space="preserve"> (required).</w:t>
      </w:r>
      <w:r w:rsidRPr="002E5B45">
        <w:t xml:space="preserve"> </w:t>
      </w:r>
      <w:r w:rsidRPr="00DD0F5F">
        <w:t xml:space="preserve">Users are required to specify the path on their system to the folder with </w:t>
      </w:r>
      <w:r>
        <w:t xml:space="preserve">habitat </w:t>
      </w:r>
      <w:r w:rsidRPr="00DD0F5F">
        <w:t>input data.</w:t>
      </w:r>
      <w:r>
        <w:t xml:space="preserve">  All data in this folder must be </w:t>
      </w:r>
      <w:proofErr w:type="spellStart"/>
      <w:r>
        <w:t>shapefiles</w:t>
      </w:r>
      <w:proofErr w:type="spellEnd"/>
      <w:r>
        <w:t>, projected in meters, and contain the following naming convention:</w:t>
      </w:r>
      <w:r>
        <w:br/>
        <w:t>“[habitat file name]_[unique Integer ID].</w:t>
      </w:r>
      <w:proofErr w:type="spellStart"/>
      <w:r>
        <w:t>shp</w:t>
      </w:r>
      <w:proofErr w:type="spellEnd"/>
      <w:r>
        <w:t>” (e.g. “kelpWCVI_1.shp”)</w:t>
      </w:r>
    </w:p>
    <w:p w:rsidR="00FC6BFD" w:rsidRPr="001B22F4" w:rsidRDefault="00FC6BFD" w:rsidP="00FC6BFD">
      <w:pPr>
        <w:pStyle w:val="ListParagraph"/>
        <w:tabs>
          <w:tab w:val="left" w:pos="0"/>
        </w:tabs>
        <w:rPr>
          <w:rFonts w:ascii="Times New Roman" w:hAnsi="Times New Roman" w:cs="Times New Roman"/>
        </w:rPr>
      </w:pPr>
      <w:r w:rsidRPr="005E6829">
        <w:rPr>
          <w:rFonts w:ascii="Times New Roman" w:hAnsi="Times New Roman" w:cs="Times New Roman"/>
        </w:rPr>
        <w:t xml:space="preserve">The use of a unique identifier after the underscore (“_”) at the end of the file name allows the model to link the ratings from the Habitat-Stressor Ratings table to the correct input layer.  It is recommended that users adjust file names/IDs to </w:t>
      </w:r>
      <w:proofErr w:type="spellStart"/>
      <w:r w:rsidRPr="005E6829">
        <w:rPr>
          <w:rFonts w:ascii="Times New Roman" w:hAnsi="Times New Roman" w:cs="Times New Roman"/>
        </w:rPr>
        <w:lastRenderedPageBreak/>
        <w:t>shapefiles</w:t>
      </w:r>
      <w:proofErr w:type="spellEnd"/>
      <w:r w:rsidRPr="005E6829">
        <w:rPr>
          <w:rFonts w:ascii="Times New Roman" w:hAnsi="Times New Roman" w:cs="Times New Roman"/>
        </w:rPr>
        <w:t xml:space="preserve"> using </w:t>
      </w:r>
      <w:proofErr w:type="spellStart"/>
      <w:r w:rsidRPr="005E6829">
        <w:rPr>
          <w:rFonts w:ascii="Times New Roman" w:hAnsi="Times New Roman" w:cs="Times New Roman"/>
        </w:rPr>
        <w:t>ArcCatalog</w:t>
      </w:r>
      <w:proofErr w:type="spellEnd"/>
      <w:r>
        <w:rPr>
          <w:rFonts w:ascii="Times New Roman" w:hAnsi="Times New Roman" w:cs="Times New Roman"/>
        </w:rPr>
        <w:t xml:space="preserve">.  </w:t>
      </w:r>
      <w:r>
        <w:rPr>
          <w:rFonts w:ascii="Times New Roman" w:hAnsi="Times New Roman" w:cs="Times New Roman"/>
          <w:noProof/>
        </w:rPr>
        <w:drawing>
          <wp:inline distT="0" distB="0" distL="0" distR="0" wp14:anchorId="7B8188A6" wp14:editId="336452C6">
            <wp:extent cx="1943371" cy="119079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HabInputs.PNG"/>
                    <pic:cNvPicPr/>
                  </pic:nvPicPr>
                  <pic:blipFill>
                    <a:blip r:embed="rId15">
                      <a:extLst>
                        <a:ext uri="{28A0092B-C50C-407E-A947-70E740481C1C}">
                          <a14:useLocalDpi xmlns:a14="http://schemas.microsoft.com/office/drawing/2010/main" val="0"/>
                        </a:ext>
                      </a:extLst>
                    </a:blip>
                    <a:stretch>
                      <a:fillRect/>
                    </a:stretch>
                  </pic:blipFill>
                  <pic:spPr>
                    <a:xfrm>
                      <a:off x="0" y="0"/>
                      <a:ext cx="1943371" cy="1190791"/>
                    </a:xfrm>
                    <a:prstGeom prst="rect">
                      <a:avLst/>
                    </a:prstGeom>
                  </pic:spPr>
                </pic:pic>
              </a:graphicData>
            </a:graphic>
          </wp:inline>
        </w:drawing>
      </w:r>
      <w:r>
        <w:rPr>
          <w:rFonts w:ascii="Times New Roman" w:hAnsi="Times New Roman" w:cs="Times New Roman"/>
        </w:rPr>
        <w:br/>
      </w:r>
      <w:r w:rsidRPr="005E6829">
        <w:rPr>
          <w:rFonts w:ascii="Times New Roman" w:hAnsi="Times New Roman" w:cs="Times New Roman"/>
        </w:rPr>
        <w:t xml:space="preserve">The model allows a maximum of eight habitat layers </w:t>
      </w:r>
      <w:r>
        <w:rPr>
          <w:rFonts w:ascii="Times New Roman" w:hAnsi="Times New Roman" w:cs="Times New Roman"/>
        </w:rPr>
        <w:t>for this input</w:t>
      </w:r>
      <w:r w:rsidRPr="005E6829">
        <w:rPr>
          <w:rFonts w:ascii="Times New Roman" w:hAnsi="Times New Roman" w:cs="Times New Roman"/>
        </w:rPr>
        <w:t>.  Do not store any additional files that are not part of the analysis in this folder</w:t>
      </w:r>
      <w:r>
        <w:rPr>
          <w:rFonts w:ascii="Times New Roman" w:hAnsi="Times New Roman" w:cs="Times New Roman"/>
        </w:rPr>
        <w:t xml:space="preserve"> directory</w:t>
      </w:r>
      <w:r w:rsidRPr="005E6829">
        <w:rPr>
          <w:rFonts w:ascii="Times New Roman" w:hAnsi="Times New Roman" w:cs="Times New Roman"/>
        </w:rPr>
        <w:t>.</w:t>
      </w:r>
    </w:p>
    <w:p w:rsidR="00FC6BFD" w:rsidRPr="007817CF" w:rsidRDefault="00FC6BFD" w:rsidP="00FC6BFD">
      <w:pPr>
        <w:suppressAutoHyphens/>
        <w:ind w:left="720"/>
      </w:pPr>
      <w:r>
        <w:t xml:space="preserve">When determining the predominate habitat in a cell, the model establishes a hierarchy where it prioritizes habitats listed in the input #5 table in ascending order (i.e. kelp_1 comes before eelgrass_2, which comes before softbottom_3, </w:t>
      </w:r>
      <w:proofErr w:type="spellStart"/>
      <w:r>
        <w:t>etc</w:t>
      </w:r>
      <w:proofErr w:type="spellEnd"/>
      <w:r>
        <w:t xml:space="preserve">). </w:t>
      </w:r>
      <w:proofErr w:type="gramStart"/>
      <w:r>
        <w:t>If users are more interested in biotic habitats (i.e. eelgrass, kelp, mangroves) than abiotic habitats (i.e. rocky bottom), they should list biotic habitats before abiotic habitats.</w:t>
      </w:r>
      <w:proofErr w:type="gramEnd"/>
      <w:r>
        <w:t xml:space="preserve"> To avoid larger abiotic layers being selected as the predominant habitat, preprocess the habitat data by erasing areas of abiotic habitat that overlap the biotic ones.</w:t>
      </w:r>
    </w:p>
    <w:p w:rsidR="00FC6BFD" w:rsidRPr="002E5B45" w:rsidRDefault="00FC6BFD" w:rsidP="00FC6BFD">
      <w:pPr>
        <w:ind w:left="720"/>
        <w:rPr>
          <w:u w:val="single"/>
        </w:rPr>
      </w:pPr>
    </w:p>
    <w:p w:rsidR="00FC6BFD" w:rsidRPr="002E5B45" w:rsidRDefault="00FC6BFD" w:rsidP="00FC6BFD">
      <w:pPr>
        <w:ind w:left="720"/>
      </w:pPr>
      <w:r w:rsidRPr="00960284">
        <w:rPr>
          <w:u w:val="single"/>
        </w:rPr>
        <w:t>Name</w:t>
      </w:r>
      <w:r w:rsidRPr="00960284">
        <w:t xml:space="preserve">: </w:t>
      </w:r>
      <w:r>
        <w:t>Path to a habitat data folder.  A</w:t>
      </w:r>
      <w:r w:rsidRPr="00DD0F5F">
        <w:t>void spaces</w:t>
      </w:r>
      <w:r>
        <w:t>.</w:t>
      </w:r>
    </w:p>
    <w:p w:rsidR="00FC6BFD" w:rsidRPr="002E5B45" w:rsidRDefault="00FC6BFD" w:rsidP="00FC6BFD">
      <w:pPr>
        <w:ind w:left="720"/>
      </w:pPr>
      <w:r w:rsidRPr="007817CF">
        <w:rPr>
          <w:b/>
          <w:bCs/>
          <w:u w:val="single"/>
        </w:rPr>
        <w:t>Sample</w:t>
      </w:r>
      <w:r w:rsidRPr="007817CF">
        <w:rPr>
          <w:b/>
          <w:bCs/>
        </w:rPr>
        <w:t>:</w:t>
      </w:r>
      <w:r w:rsidRPr="00960284">
        <w:t xml:space="preserve">  \</w:t>
      </w:r>
      <w:proofErr w:type="spellStart"/>
      <w:r w:rsidRPr="00960284">
        <w:t>InVEST</w:t>
      </w:r>
      <w:proofErr w:type="spellEnd"/>
      <w:r w:rsidRPr="00960284">
        <w:t>\</w:t>
      </w:r>
      <w:r w:rsidRPr="00570E51">
        <w:t xml:space="preserve"> </w:t>
      </w:r>
      <w:proofErr w:type="spellStart"/>
      <w:r>
        <w:t>HabitatRiskAssess</w:t>
      </w:r>
      <w:proofErr w:type="spellEnd"/>
      <w:r w:rsidRPr="00960284">
        <w:t>\</w:t>
      </w:r>
      <w:r>
        <w:t>Input\</w:t>
      </w:r>
      <w:proofErr w:type="spellStart"/>
      <w:r>
        <w:t>HabitatLayers</w:t>
      </w:r>
      <w:proofErr w:type="spellEnd"/>
    </w:p>
    <w:p w:rsidR="00FC6BFD" w:rsidRPr="002E5B45" w:rsidRDefault="00FC6BFD" w:rsidP="00FC6BFD"/>
    <w:p w:rsidR="00FC6BFD" w:rsidRDefault="00FC6BFD" w:rsidP="00FC6BFD">
      <w:pPr>
        <w:numPr>
          <w:ilvl w:val="0"/>
          <w:numId w:val="1"/>
        </w:numPr>
        <w:suppressAutoHyphens/>
      </w:pPr>
      <w:r>
        <w:rPr>
          <w:b/>
        </w:rPr>
        <w:t>Stressor Data Directory</w:t>
      </w:r>
      <w:r w:rsidRPr="00960284">
        <w:rPr>
          <w:b/>
        </w:rPr>
        <w:t xml:space="preserve"> (required).</w:t>
      </w:r>
      <w:r w:rsidRPr="00960284">
        <w:t xml:space="preserve"> </w:t>
      </w:r>
      <w:r w:rsidRPr="00DD0F5F">
        <w:t xml:space="preserve">Users are required to specify the path on their system to the folder with </w:t>
      </w:r>
      <w:r>
        <w:t xml:space="preserve">stressor </w:t>
      </w:r>
      <w:r w:rsidRPr="00DD0F5F">
        <w:t>input data.</w:t>
      </w:r>
      <w:r>
        <w:t xml:space="preserve">  All data in this folder must be </w:t>
      </w:r>
      <w:proofErr w:type="spellStart"/>
      <w:r>
        <w:t>shapefiles</w:t>
      </w:r>
      <w:proofErr w:type="spellEnd"/>
      <w:r>
        <w:t>, projected in meters, and contain the following naming convention:</w:t>
      </w:r>
      <w:r>
        <w:br/>
        <w:t>“[stressor file name]_[unique Integer ID].</w:t>
      </w:r>
      <w:proofErr w:type="spellStart"/>
      <w:r>
        <w:t>shp</w:t>
      </w:r>
      <w:proofErr w:type="spellEnd"/>
      <w:r>
        <w:t>” (e.g. “netpensWCVI_1.shp”)</w:t>
      </w:r>
    </w:p>
    <w:p w:rsidR="00FC6BFD" w:rsidRDefault="00FC6BFD" w:rsidP="00FC6BFD">
      <w:pPr>
        <w:suppressAutoHyphens/>
        <w:ind w:left="720"/>
      </w:pPr>
      <w:r w:rsidRPr="007817CF">
        <w:t xml:space="preserve">The </w:t>
      </w:r>
      <w:r>
        <w:t xml:space="preserve">use of a unique identifier after the underscore (“_”) at the end of the file name allows the model to link the ratings from the Habitat-Stressor Ratings table to the correct input layer.  It is recommended that users adjust file names/IDs to </w:t>
      </w:r>
      <w:proofErr w:type="spellStart"/>
      <w:r>
        <w:t>shapefiles</w:t>
      </w:r>
      <w:proofErr w:type="spellEnd"/>
      <w:r>
        <w:t xml:space="preserve"> using </w:t>
      </w:r>
      <w:proofErr w:type="spellStart"/>
      <w:r>
        <w:t>ArcCatalog</w:t>
      </w:r>
      <w:proofErr w:type="spellEnd"/>
      <w:r>
        <w:t xml:space="preserve">.  </w:t>
      </w:r>
      <w:r w:rsidRPr="005E6829">
        <w:t xml:space="preserve">The model allows a maximum of </w:t>
      </w:r>
      <w:r>
        <w:t>ten</w:t>
      </w:r>
      <w:r w:rsidRPr="005E6829">
        <w:t xml:space="preserve"> habitat layers </w:t>
      </w:r>
      <w:r>
        <w:t>for this input</w:t>
      </w:r>
      <w:r w:rsidRPr="005E6829">
        <w:t>.  Do not store any additional files that are not part of the analysis in this folder</w:t>
      </w:r>
      <w:r>
        <w:t xml:space="preserve"> directory</w:t>
      </w:r>
      <w:r w:rsidRPr="005E6829">
        <w:t>.</w:t>
      </w:r>
    </w:p>
    <w:p w:rsidR="00FC6BFD" w:rsidRDefault="00FC6BFD" w:rsidP="00FC6BFD">
      <w:pPr>
        <w:suppressAutoHyphens/>
        <w:ind w:left="720"/>
      </w:pPr>
    </w:p>
    <w:p w:rsidR="00FC6BFD" w:rsidRPr="007817CF" w:rsidRDefault="00FC6BFD" w:rsidP="00FC6BFD">
      <w:pPr>
        <w:suppressAutoHyphens/>
        <w:ind w:left="720"/>
      </w:pPr>
      <w:r>
        <w:rPr>
          <w:noProof/>
        </w:rPr>
        <w:drawing>
          <wp:inline distT="0" distB="0" distL="0" distR="0" wp14:anchorId="2AC8432F" wp14:editId="5FC61FF7">
            <wp:extent cx="2695951" cy="1305107"/>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StressInputs.PNG"/>
                    <pic:cNvPicPr/>
                  </pic:nvPicPr>
                  <pic:blipFill>
                    <a:blip r:embed="rId16">
                      <a:extLst>
                        <a:ext uri="{28A0092B-C50C-407E-A947-70E740481C1C}">
                          <a14:useLocalDpi xmlns:a14="http://schemas.microsoft.com/office/drawing/2010/main" val="0"/>
                        </a:ext>
                      </a:extLst>
                    </a:blip>
                    <a:stretch>
                      <a:fillRect/>
                    </a:stretch>
                  </pic:blipFill>
                  <pic:spPr>
                    <a:xfrm>
                      <a:off x="0" y="0"/>
                      <a:ext cx="2695951" cy="1305107"/>
                    </a:xfrm>
                    <a:prstGeom prst="rect">
                      <a:avLst/>
                    </a:prstGeom>
                  </pic:spPr>
                </pic:pic>
              </a:graphicData>
            </a:graphic>
          </wp:inline>
        </w:drawing>
      </w:r>
    </w:p>
    <w:p w:rsidR="00FC6BFD" w:rsidRPr="002E5B45" w:rsidRDefault="00FC6BFD" w:rsidP="00FC6BFD">
      <w:pPr>
        <w:suppressAutoHyphens/>
        <w:ind w:left="720"/>
        <w:rPr>
          <w:u w:val="single"/>
        </w:rPr>
      </w:pPr>
    </w:p>
    <w:p w:rsidR="00FC6BFD" w:rsidRPr="002E5B45" w:rsidRDefault="00FC6BFD" w:rsidP="00FC6BFD">
      <w:pPr>
        <w:ind w:left="720"/>
      </w:pPr>
      <w:r w:rsidRPr="00960284">
        <w:rPr>
          <w:u w:val="single"/>
        </w:rPr>
        <w:t>Name</w:t>
      </w:r>
      <w:r w:rsidRPr="00960284">
        <w:t xml:space="preserve">: </w:t>
      </w:r>
      <w:r>
        <w:t>Path to a stressor data folder.  A</w:t>
      </w:r>
      <w:r w:rsidRPr="00DD0F5F">
        <w:t>void spaces</w:t>
      </w:r>
      <w:r>
        <w:t>.</w:t>
      </w:r>
    </w:p>
    <w:p w:rsidR="00FC6BFD" w:rsidRPr="002E5B45" w:rsidRDefault="00FC6BFD" w:rsidP="00FC6BFD">
      <w:pPr>
        <w:ind w:left="720"/>
      </w:pPr>
      <w:r w:rsidRPr="007817CF">
        <w:rPr>
          <w:b/>
          <w:bCs/>
          <w:u w:val="single"/>
        </w:rPr>
        <w:t>Sample path</w:t>
      </w:r>
      <w:r w:rsidRPr="007817CF">
        <w:rPr>
          <w:b/>
          <w:bCs/>
        </w:rPr>
        <w:t>:</w:t>
      </w:r>
      <w:r w:rsidRPr="002E5B45">
        <w:t xml:space="preserve">  </w:t>
      </w:r>
      <w:r w:rsidRPr="00960284">
        <w:t>\</w:t>
      </w:r>
      <w:proofErr w:type="spellStart"/>
      <w:r w:rsidRPr="00960284">
        <w:t>InVEST</w:t>
      </w:r>
      <w:proofErr w:type="spellEnd"/>
      <w:r w:rsidRPr="00960284">
        <w:t>\</w:t>
      </w:r>
      <w:r w:rsidRPr="00570E51">
        <w:t xml:space="preserve"> </w:t>
      </w:r>
      <w:proofErr w:type="spellStart"/>
      <w:r>
        <w:t>HabitatRiskAssess</w:t>
      </w:r>
      <w:proofErr w:type="spellEnd"/>
      <w:r w:rsidRPr="00960284">
        <w:t>\</w:t>
      </w:r>
      <w:r>
        <w:t>Input\</w:t>
      </w:r>
      <w:proofErr w:type="spellStart"/>
      <w:r>
        <w:t>StressorLayers</w:t>
      </w:r>
      <w:proofErr w:type="spellEnd"/>
    </w:p>
    <w:p w:rsidR="00FC6BFD" w:rsidRPr="002E5B45" w:rsidRDefault="00FC6BFD" w:rsidP="00FC6BFD">
      <w:pPr>
        <w:ind w:left="720"/>
      </w:pPr>
    </w:p>
    <w:p w:rsidR="00FC6BFD" w:rsidRDefault="00FC6BFD" w:rsidP="00FC6BFD">
      <w:pPr>
        <w:suppressAutoHyphens/>
      </w:pPr>
    </w:p>
    <w:p w:rsidR="00FC6BFD" w:rsidRDefault="00FC6BFD" w:rsidP="00FC6BFD">
      <w:pPr>
        <w:numPr>
          <w:ilvl w:val="0"/>
          <w:numId w:val="1"/>
        </w:numPr>
        <w:suppressAutoHyphens/>
        <w:rPr>
          <w:u w:val="single"/>
        </w:rPr>
      </w:pPr>
      <w:r>
        <w:rPr>
          <w:b/>
        </w:rPr>
        <w:lastRenderedPageBreak/>
        <w:t xml:space="preserve">Habitat-Stressor Ratings Table </w:t>
      </w:r>
      <w:r w:rsidRPr="00960284">
        <w:rPr>
          <w:b/>
        </w:rPr>
        <w:t>(required).</w:t>
      </w:r>
      <w:r w:rsidRPr="00960284">
        <w:t xml:space="preserve"> </w:t>
      </w:r>
      <w:r>
        <w:t>The user</w:t>
      </w:r>
      <w:r w:rsidRPr="003C0AF4">
        <w:t xml:space="preserve"> must </w:t>
      </w:r>
      <w:r>
        <w:t xml:space="preserve">fill out tables </w:t>
      </w:r>
      <w:r w:rsidRPr="003C0AF4">
        <w:t xml:space="preserve">to instruct the model on various </w:t>
      </w:r>
      <w:r>
        <w:t>habitat, stressor and habitat-stressor specific ratings for consequence and exposure.  There are three sheets that need to be completed (sheets (1*), (2), and (3)). See Section 3 for guidelines on how to complete this table.</w:t>
      </w:r>
    </w:p>
    <w:p w:rsidR="00FC6BFD" w:rsidRPr="00013D37" w:rsidRDefault="00FC6BFD" w:rsidP="00FC6BFD">
      <w:pPr>
        <w:suppressAutoHyphens/>
        <w:ind w:left="720"/>
        <w:rPr>
          <w:u w:val="single"/>
        </w:rPr>
      </w:pPr>
      <w:r>
        <w:t xml:space="preserve">  </w:t>
      </w:r>
    </w:p>
    <w:p w:rsidR="00FC6BFD" w:rsidRDefault="00FC6BFD" w:rsidP="00FC6BFD">
      <w:pPr>
        <w:pStyle w:val="ListParagraph"/>
        <w:tabs>
          <w:tab w:val="left" w:pos="0"/>
        </w:tabs>
        <w:rPr>
          <w:rFonts w:ascii="Times New Roman" w:hAnsi="Times New Roman" w:cs="Times New Roman"/>
        </w:rPr>
      </w:pPr>
      <w:r w:rsidRPr="00013D37">
        <w:rPr>
          <w:rFonts w:ascii="Times New Roman" w:hAnsi="Times New Roman" w:cs="Times New Roman"/>
          <w:b/>
        </w:rPr>
        <w:t>Sheet (1):</w:t>
      </w:r>
      <w:r>
        <w:rPr>
          <w:rFonts w:ascii="Times New Roman" w:hAnsi="Times New Roman" w:cs="Times New Roman"/>
        </w:rPr>
        <w:t xml:space="preserve"> </w:t>
      </w:r>
      <w:r w:rsidRPr="00640EE5">
        <w:rPr>
          <w:rFonts w:ascii="Times New Roman" w:hAnsi="Times New Roman" w:cs="Times New Roman"/>
        </w:rPr>
        <w:t xml:space="preserve">For sheet </w:t>
      </w:r>
      <w:r>
        <w:rPr>
          <w:rFonts w:ascii="Times New Roman" w:hAnsi="Times New Roman" w:cs="Times New Roman"/>
        </w:rPr>
        <w:t xml:space="preserve">(1), shown below, users will enter names of stressors and habitats into columns “B” and “G” respectively.  This listing must correspond to the GIS layers contained in the directories from inputs #3 and 4.  Additionally, the IDs in columns “A” and “F” must exactly match the ID number at the end of each GIS layer’s file name (following the underscore “_”).  Rows that don’t contain a habitat or stressor entry must contain a “0”. *It is imperative that in columns “B” and “G” all the blue rows contain either a “0” or a stressor/habitat name.  The model uses this logic for confirming the number of input layers and for generating the correct permutation of habitat-stressor relationships in sheet (2). </w:t>
      </w:r>
    </w:p>
    <w:p w:rsidR="00FC6BFD" w:rsidRDefault="00FC6BFD" w:rsidP="00FC6BFD">
      <w:pPr>
        <w:pStyle w:val="ListParagraph"/>
        <w:tabs>
          <w:tab w:val="left" w:pos="0"/>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4EC521EB" wp14:editId="7BB31061">
            <wp:extent cx="5486400" cy="4114165"/>
            <wp:effectExtent l="25400" t="0" r="0" b="0"/>
            <wp:docPr id="3" name="Picture 2"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7"/>
                    <a:stretch>
                      <a:fillRect/>
                    </a:stretch>
                  </pic:blipFill>
                  <pic:spPr>
                    <a:xfrm>
                      <a:off x="0" y="0"/>
                      <a:ext cx="5486400" cy="4114165"/>
                    </a:xfrm>
                    <a:prstGeom prst="rect">
                      <a:avLst/>
                    </a:prstGeom>
                  </pic:spPr>
                </pic:pic>
              </a:graphicData>
            </a:graphic>
          </wp:inline>
        </w:drawing>
      </w:r>
    </w:p>
    <w:p w:rsidR="00FC6BFD" w:rsidRPr="00FE4D63" w:rsidRDefault="00FC6BFD" w:rsidP="00FC6BFD">
      <w:pPr>
        <w:pStyle w:val="ListParagraph"/>
        <w:tabs>
          <w:tab w:val="left" w:pos="0"/>
        </w:tabs>
        <w:rPr>
          <w:rFonts w:ascii="Times New Roman" w:hAnsi="Times New Roman" w:cs="Times New Roman"/>
        </w:rPr>
      </w:pPr>
      <w:r>
        <w:rPr>
          <w:rFonts w:ascii="Times New Roman" w:hAnsi="Times New Roman" w:cs="Times New Roman"/>
        </w:rPr>
        <w:t>Users also have the option of buffering the stressor layers by entering a number in column “E” in meters.  This buffer distance represents the distance over which the primary effects of the stressor spread. For example, the effects of nutrient loading from finfish aquaculture are known to spread several hundred meters out from the farms themselves. If the stressor layer is a polygon, negative buffer values are also permitted and this will shrink the stressor layer before analysis.</w:t>
      </w:r>
    </w:p>
    <w:p w:rsidR="00FC6BFD" w:rsidRPr="00E06F17" w:rsidRDefault="00FC6BFD" w:rsidP="00FC6BFD">
      <w:pPr>
        <w:pStyle w:val="ListParagraph"/>
        <w:tabs>
          <w:tab w:val="left" w:pos="0"/>
        </w:tabs>
        <w:rPr>
          <w:rFonts w:ascii="Times New Roman" w:hAnsi="Times New Roman" w:cs="Times New Roman"/>
        </w:rPr>
      </w:pPr>
      <w:r>
        <w:rPr>
          <w:rFonts w:ascii="Times New Roman" w:hAnsi="Times New Roman" w:cs="Times New Roman"/>
        </w:rPr>
        <w:lastRenderedPageBreak/>
        <w:t xml:space="preserve">Next, for all rows where there are no zeros listed, a rating and data quality assessment must be select in columns “B”,”C”  “D”, and “G” for input into the impact scoring.  For guidance on how to select a rating for each criterion, see Section 3.1.c. </w:t>
      </w:r>
      <w:proofErr w:type="gramStart"/>
      <w:r>
        <w:rPr>
          <w:rFonts w:ascii="Times New Roman" w:hAnsi="Times New Roman" w:cs="Times New Roman"/>
        </w:rPr>
        <w:t>For guidance on how to rate data quality, please see Section 3.3.</w:t>
      </w:r>
      <w:proofErr w:type="gramEnd"/>
      <w:r>
        <w:rPr>
          <w:rFonts w:ascii="Times New Roman" w:hAnsi="Times New Roman" w:cs="Times New Roman"/>
        </w:rPr>
        <w:t xml:space="preserve"> </w:t>
      </w:r>
    </w:p>
    <w:p w:rsidR="00FC6BFD" w:rsidRDefault="00FC6BFD" w:rsidP="00FC6BFD">
      <w:pPr>
        <w:pStyle w:val="ListParagraph"/>
        <w:tabs>
          <w:tab w:val="left" w:pos="0"/>
        </w:tabs>
        <w:rPr>
          <w:rFonts w:ascii="Times New Roman" w:hAnsi="Times New Roman" w:cs="Times New Roman"/>
        </w:rPr>
      </w:pPr>
      <w:r w:rsidRPr="00013D37">
        <w:rPr>
          <w:rFonts w:ascii="Times New Roman" w:hAnsi="Times New Roman" w:cs="Times New Roman"/>
          <w:b/>
        </w:rPr>
        <w:t>Sheet (2):</w:t>
      </w:r>
      <w:r>
        <w:rPr>
          <w:rFonts w:ascii="Times New Roman" w:hAnsi="Times New Roman" w:cs="Times New Roman"/>
        </w:rPr>
        <w:t xml:space="preserve"> Sheet (2) only requires ratings and data quality assessments for rows that contain a habitat AND stressor name filled out.  If a row has “0” listed in both columns “B” and “D” a rating is not necessary.  However, to ensure all required inputs are completed, check all cells down to row #82 and across through column “H”.  For guidelines on how to complete Sheet (2), please see Sections 3.2.a-c. </w:t>
      </w:r>
    </w:p>
    <w:p w:rsidR="00FC6BFD" w:rsidRDefault="00FC6BFD" w:rsidP="00FC6BFD">
      <w:pPr>
        <w:tabs>
          <w:tab w:val="left" w:pos="720"/>
        </w:tabs>
        <w:ind w:left="720"/>
      </w:pPr>
      <w:r>
        <w:rPr>
          <w:noProof/>
        </w:rPr>
        <w:drawing>
          <wp:inline distT="0" distB="0" distL="0" distR="0" wp14:anchorId="1F885B8A" wp14:editId="4D2C922D">
            <wp:extent cx="5486400" cy="21634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Sheet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163445"/>
                    </a:xfrm>
                    <a:prstGeom prst="rect">
                      <a:avLst/>
                    </a:prstGeom>
                  </pic:spPr>
                </pic:pic>
              </a:graphicData>
            </a:graphic>
          </wp:inline>
        </w:drawing>
      </w:r>
    </w:p>
    <w:p w:rsidR="00FC6BFD" w:rsidRPr="00013D37" w:rsidRDefault="00FC6BFD" w:rsidP="00FC6BFD">
      <w:pPr>
        <w:tabs>
          <w:tab w:val="left" w:pos="720"/>
        </w:tabs>
        <w:ind w:left="720"/>
      </w:pPr>
    </w:p>
    <w:p w:rsidR="00FC6BFD" w:rsidRDefault="00FC6BFD" w:rsidP="00FC6BFD">
      <w:pPr>
        <w:pStyle w:val="ListParagraph"/>
        <w:tabs>
          <w:tab w:val="left" w:pos="0"/>
        </w:tabs>
        <w:rPr>
          <w:rFonts w:ascii="Times New Roman" w:hAnsi="Times New Roman" w:cs="Times New Roman"/>
        </w:rPr>
      </w:pPr>
      <w:r w:rsidRPr="00013D37">
        <w:rPr>
          <w:rFonts w:ascii="Times New Roman" w:hAnsi="Times New Roman" w:cs="Times New Roman"/>
          <w:b/>
        </w:rPr>
        <w:t>Sheet (3):</w:t>
      </w:r>
      <w:r>
        <w:rPr>
          <w:rFonts w:ascii="Times New Roman" w:hAnsi="Times New Roman" w:cs="Times New Roman"/>
        </w:rPr>
        <w:t xml:space="preserve"> For guidelines on how to complete Sheet (3), please see Section 3.2.d.</w:t>
      </w:r>
    </w:p>
    <w:p w:rsidR="00FC6BFD" w:rsidRDefault="00FC6BFD" w:rsidP="00FC6BFD">
      <w:pPr>
        <w:pStyle w:val="ListParagraph"/>
        <w:tabs>
          <w:tab w:val="left" w:pos="0"/>
        </w:tabs>
        <w:rPr>
          <w:rFonts w:ascii="Times New Roman" w:hAnsi="Times New Roman" w:cs="Times New Roman"/>
          <w:b/>
        </w:rPr>
      </w:pPr>
      <w:r>
        <w:rPr>
          <w:rFonts w:ascii="Times New Roman" w:hAnsi="Times New Roman" w:cs="Times New Roman"/>
          <w:b/>
          <w:noProof/>
        </w:rPr>
        <w:drawing>
          <wp:inline distT="0" distB="0" distL="0" distR="0" wp14:anchorId="41F0A868" wp14:editId="48797260">
            <wp:extent cx="5486400" cy="17506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Sheet3.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750695"/>
                    </a:xfrm>
                    <a:prstGeom prst="rect">
                      <a:avLst/>
                    </a:prstGeom>
                  </pic:spPr>
                </pic:pic>
              </a:graphicData>
            </a:graphic>
          </wp:inline>
        </w:drawing>
      </w:r>
    </w:p>
    <w:p w:rsidR="00FC6BFD" w:rsidRDefault="00FC6BFD" w:rsidP="00FC6BFD">
      <w:pPr>
        <w:pStyle w:val="ListParagraph"/>
        <w:tabs>
          <w:tab w:val="left" w:pos="0"/>
        </w:tabs>
        <w:rPr>
          <w:u w:val="single"/>
        </w:rPr>
      </w:pPr>
      <w:r w:rsidRPr="00B30158">
        <w:rPr>
          <w:rFonts w:ascii="Times New Roman" w:hAnsi="Times New Roman" w:cs="Times New Roman"/>
          <w:b/>
        </w:rPr>
        <w:t>“Rating legends” sheet:</w:t>
      </w:r>
      <w:r>
        <w:rPr>
          <w:rFonts w:ascii="Times New Roman" w:hAnsi="Times New Roman" w:cs="Times New Roman"/>
        </w:rPr>
        <w:t xml:space="preserve"> This sheet contains the references for the ratings used in the scoring process. These categories are derived from peer-reviewed literature, and we recommend using these pre-established categories. However, users may modify the categories by changing the entries in column “C”.  It is important to note that the categories for the exposure criterion “Spatial Overlap”, which is calculated directly by the model (not rated by the </w:t>
      </w:r>
      <w:proofErr w:type="gramStart"/>
      <w:r>
        <w:rPr>
          <w:rFonts w:ascii="Times New Roman" w:hAnsi="Times New Roman" w:cs="Times New Roman"/>
        </w:rPr>
        <w:t>user)</w:t>
      </w:r>
      <w:proofErr w:type="gramEnd"/>
      <w:r>
        <w:rPr>
          <w:rFonts w:ascii="Times New Roman" w:hAnsi="Times New Roman" w:cs="Times New Roman"/>
        </w:rPr>
        <w:t xml:space="preserve"> may be modified in rows 43-44. By default, the model rates overlap within each grid cell of &gt;0-10% as a “1”, 10-30% as a “2” and &gt;30% as a “3”.  However, these ranges as well as any others for exposure or consequence ratings can be changed on this sheet.</w:t>
      </w:r>
    </w:p>
    <w:p w:rsidR="00FC6BFD" w:rsidRDefault="00FC6BFD" w:rsidP="00FC6BFD">
      <w:pPr>
        <w:pStyle w:val="ListParagraph"/>
        <w:tabs>
          <w:tab w:val="left" w:pos="0"/>
        </w:tabs>
        <w:rPr>
          <w:rFonts w:ascii="Times New Roman" w:hAnsi="Times New Roman" w:cs="Times New Roman"/>
        </w:rPr>
      </w:pPr>
      <w:r>
        <w:rPr>
          <w:rFonts w:ascii="Times New Roman" w:hAnsi="Times New Roman" w:cs="Times New Roman"/>
          <w:noProof/>
        </w:rPr>
        <w:lastRenderedPageBreak/>
        <w:drawing>
          <wp:inline distT="0" distB="0" distL="0" distR="0" wp14:anchorId="7625A97C" wp14:editId="1DE3E75F">
            <wp:extent cx="5486400" cy="483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Sheet_RatingLegend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83235"/>
                    </a:xfrm>
                    <a:prstGeom prst="rect">
                      <a:avLst/>
                    </a:prstGeom>
                  </pic:spPr>
                </pic:pic>
              </a:graphicData>
            </a:graphic>
          </wp:inline>
        </w:drawing>
      </w:r>
    </w:p>
    <w:p w:rsidR="00FC6BFD" w:rsidRPr="00013D37" w:rsidRDefault="00FC6BFD" w:rsidP="00FC6BFD">
      <w:pPr>
        <w:pStyle w:val="ListParagraph"/>
        <w:tabs>
          <w:tab w:val="left" w:pos="0"/>
        </w:tabs>
        <w:rPr>
          <w:rFonts w:ascii="Times New Roman" w:hAnsi="Times New Roman" w:cs="Times New Roman"/>
        </w:rPr>
      </w:pPr>
      <w:r>
        <w:rPr>
          <w:rFonts w:ascii="Times New Roman" w:hAnsi="Times New Roman" w:cs="Times New Roman"/>
        </w:rPr>
        <w:t>The installer provides two different tables for possible input.  One contains rankings to run the sample data from the west coast of Vancouver Island, Canada, and the other is blank for application at a site of the user’s choosing. We recommend that users make a copy of the blank file before filling it out so they always have a template for future inputs.</w:t>
      </w:r>
      <w:r>
        <w:rPr>
          <w:rFonts w:ascii="Times New Roman" w:hAnsi="Times New Roman" w:cs="Times New Roman"/>
        </w:rPr>
        <w:br/>
      </w:r>
      <w:r w:rsidRPr="00013D37">
        <w:rPr>
          <w:u w:val="single"/>
        </w:rPr>
        <w:br/>
      </w:r>
      <w:r w:rsidRPr="00013D37">
        <w:rPr>
          <w:rFonts w:ascii="Times New Roman" w:hAnsi="Times New Roman" w:cs="Times New Roman"/>
          <w:u w:val="single"/>
        </w:rPr>
        <w:t>Table Name</w:t>
      </w:r>
      <w:r w:rsidRPr="00013D37">
        <w:rPr>
          <w:rFonts w:ascii="Times New Roman" w:hAnsi="Times New Roman" w:cs="Times New Roman"/>
        </w:rPr>
        <w:t xml:space="preserve">: File can be named anything, but no spaces in the name </w:t>
      </w:r>
      <w:r w:rsidRPr="00013D37">
        <w:rPr>
          <w:rFonts w:ascii="Times New Roman" w:hAnsi="Times New Roman" w:cs="Times New Roman"/>
        </w:rPr>
        <w:br/>
      </w:r>
      <w:r w:rsidRPr="00013D37">
        <w:rPr>
          <w:rFonts w:ascii="Times New Roman" w:hAnsi="Times New Roman" w:cs="Times New Roman"/>
          <w:u w:val="single"/>
        </w:rPr>
        <w:t>File type</w:t>
      </w:r>
      <w:r w:rsidRPr="00013D37">
        <w:rPr>
          <w:rFonts w:ascii="Times New Roman" w:hAnsi="Times New Roman" w:cs="Times New Roman"/>
        </w:rPr>
        <w:t>:  *.</w:t>
      </w:r>
      <w:proofErr w:type="spellStart"/>
      <w:r w:rsidRPr="00013D37">
        <w:rPr>
          <w:rFonts w:ascii="Times New Roman" w:hAnsi="Times New Roman" w:cs="Times New Roman"/>
        </w:rPr>
        <w:t>xls</w:t>
      </w:r>
      <w:proofErr w:type="spellEnd"/>
      <w:r w:rsidRPr="00013D37">
        <w:rPr>
          <w:rFonts w:ascii="Times New Roman" w:hAnsi="Times New Roman" w:cs="Times New Roman"/>
        </w:rPr>
        <w:t xml:space="preserve"> or .</w:t>
      </w:r>
      <w:proofErr w:type="spellStart"/>
      <w:r w:rsidRPr="00013D37">
        <w:rPr>
          <w:rFonts w:ascii="Times New Roman" w:hAnsi="Times New Roman" w:cs="Times New Roman"/>
        </w:rPr>
        <w:t>xlsx</w:t>
      </w:r>
      <w:proofErr w:type="spellEnd"/>
      <w:r w:rsidRPr="00013D37">
        <w:rPr>
          <w:rFonts w:ascii="Times New Roman" w:hAnsi="Times New Roman" w:cs="Times New Roman"/>
        </w:rPr>
        <w:t xml:space="preserve"> (if user has MS Excel 2007 or newer</w:t>
      </w:r>
      <w:proofErr w:type="gramStart"/>
      <w:r w:rsidRPr="00013D37">
        <w:rPr>
          <w:rFonts w:ascii="Times New Roman" w:hAnsi="Times New Roman" w:cs="Times New Roman"/>
        </w:rPr>
        <w:t>)</w:t>
      </w:r>
      <w:proofErr w:type="gramEnd"/>
      <w:r w:rsidRPr="00013D37">
        <w:rPr>
          <w:rFonts w:ascii="Times New Roman" w:hAnsi="Times New Roman" w:cs="Times New Roman"/>
        </w:rPr>
        <w:br/>
      </w:r>
      <w:r w:rsidRPr="00013D37">
        <w:rPr>
          <w:rFonts w:ascii="Times New Roman" w:hAnsi="Times New Roman" w:cs="Times New Roman"/>
          <w:b/>
          <w:u w:val="single"/>
        </w:rPr>
        <w:t>Sample</w:t>
      </w:r>
      <w:r w:rsidRPr="00013D37">
        <w:rPr>
          <w:rFonts w:ascii="Times New Roman" w:hAnsi="Times New Roman" w:cs="Times New Roman"/>
          <w:b/>
        </w:rPr>
        <w:t>:</w:t>
      </w:r>
      <w:r w:rsidRPr="00013D37">
        <w:rPr>
          <w:rFonts w:ascii="Times New Roman" w:hAnsi="Times New Roman" w:cs="Times New Roman"/>
        </w:rPr>
        <w:t xml:space="preserve"> </w:t>
      </w:r>
      <w:r w:rsidRPr="00013D37">
        <w:rPr>
          <w:rFonts w:ascii="Times New Roman" w:hAnsi="Times New Roman" w:cs="Times New Roman"/>
        </w:rPr>
        <w:br/>
        <w:t>\</w:t>
      </w:r>
      <w:proofErr w:type="spellStart"/>
      <w:r w:rsidRPr="00013D37">
        <w:rPr>
          <w:rFonts w:ascii="Times New Roman" w:hAnsi="Times New Roman" w:cs="Times New Roman"/>
        </w:rPr>
        <w:t>InVEST</w:t>
      </w:r>
      <w:proofErr w:type="spellEnd"/>
      <w:r w:rsidRPr="00013D37">
        <w:rPr>
          <w:rFonts w:ascii="Times New Roman" w:hAnsi="Times New Roman" w:cs="Times New Roman"/>
        </w:rPr>
        <w:t xml:space="preserve">\ </w:t>
      </w:r>
      <w:proofErr w:type="spellStart"/>
      <w:r w:rsidRPr="00013D37">
        <w:rPr>
          <w:rFonts w:ascii="Times New Roman" w:hAnsi="Times New Roman" w:cs="Times New Roman"/>
        </w:rPr>
        <w:t>HabitatRiskAssess</w:t>
      </w:r>
      <w:proofErr w:type="spellEnd"/>
      <w:r w:rsidRPr="00013D37">
        <w:rPr>
          <w:rFonts w:ascii="Times New Roman" w:hAnsi="Times New Roman" w:cs="Times New Roman"/>
        </w:rPr>
        <w:t>\Input\</w:t>
      </w:r>
      <w:r w:rsidRPr="00962805">
        <w:t xml:space="preserve"> </w:t>
      </w:r>
      <w:r w:rsidRPr="00013D37">
        <w:rPr>
          <w:rFonts w:ascii="Times New Roman" w:hAnsi="Times New Roman" w:cs="Times New Roman"/>
        </w:rPr>
        <w:t>HabitatStressor_RatingsTable_WCVI.xls</w:t>
      </w:r>
    </w:p>
    <w:p w:rsidR="00FC6BFD" w:rsidRDefault="00FC6BFD" w:rsidP="00FC6BFD">
      <w:pPr>
        <w:suppressAutoHyphens/>
      </w:pPr>
    </w:p>
    <w:p w:rsidR="00FC6BFD" w:rsidRPr="00DD0F5F" w:rsidRDefault="00FC6BFD" w:rsidP="00FC6BFD">
      <w:pPr>
        <w:rPr>
          <w:b/>
        </w:rPr>
      </w:pPr>
      <w:r w:rsidRPr="00DD0F5F">
        <w:rPr>
          <w:b/>
        </w:rPr>
        <w:t>B. Optional Inputs</w:t>
      </w:r>
    </w:p>
    <w:p w:rsidR="00FC6BFD" w:rsidRPr="00DD0F5F" w:rsidRDefault="00FC6BFD" w:rsidP="00FC6BFD">
      <w:r w:rsidRPr="00DD0F5F">
        <w:t xml:space="preserve">The </w:t>
      </w:r>
      <w:r>
        <w:t>last input is</w:t>
      </w:r>
      <w:r w:rsidRPr="00DD0F5F">
        <w:t xml:space="preserve"> optional, </w:t>
      </w:r>
      <w:r>
        <w:t>and requires additional Python extensions to generate the 2D plots</w:t>
      </w:r>
      <w:r w:rsidRPr="00DD0F5F">
        <w:t>.</w:t>
      </w:r>
    </w:p>
    <w:p w:rsidR="00FC6BFD" w:rsidRDefault="00FC6BFD" w:rsidP="00FC6BFD">
      <w:pPr>
        <w:suppressAutoHyphens/>
      </w:pPr>
    </w:p>
    <w:p w:rsidR="00FC6BFD" w:rsidRDefault="00FC6BFD" w:rsidP="00FC6BFD">
      <w:pPr>
        <w:numPr>
          <w:ilvl w:val="0"/>
          <w:numId w:val="1"/>
        </w:numPr>
        <w:suppressAutoHyphens/>
      </w:pPr>
      <w:r>
        <w:rPr>
          <w:b/>
        </w:rPr>
        <w:t xml:space="preserve">Create HTML output with risk plots </w:t>
      </w:r>
      <w:r w:rsidRPr="00960284">
        <w:rPr>
          <w:b/>
        </w:rPr>
        <w:t>(</w:t>
      </w:r>
      <w:r>
        <w:rPr>
          <w:b/>
        </w:rPr>
        <w:t>optional</w:t>
      </w:r>
      <w:r w:rsidRPr="00960284">
        <w:rPr>
          <w:b/>
        </w:rPr>
        <w:t>).</w:t>
      </w:r>
      <w:r w:rsidRPr="00960284">
        <w:t xml:space="preserve"> </w:t>
      </w:r>
      <w:r w:rsidRPr="00DD0F5F">
        <w:t xml:space="preserve">By checking this box, </w:t>
      </w:r>
      <w:r>
        <w:t xml:space="preserve">the model will generate a series of figures, which clearly display the exposure-consequence ratings and the resulting risk results for each habitat-stressor combination. It will also create a figure showing cumulative risk for all habitats in the study region. This option requires the </w:t>
      </w:r>
      <w:proofErr w:type="spellStart"/>
      <w:r>
        <w:t>Matplotlib</w:t>
      </w:r>
      <w:proofErr w:type="spellEnd"/>
      <w:r>
        <w:t xml:space="preserve"> python extension. If this option is selected, the model will check that </w:t>
      </w:r>
      <w:proofErr w:type="spellStart"/>
      <w:r>
        <w:t>Matplotlib</w:t>
      </w:r>
      <w:proofErr w:type="spellEnd"/>
      <w:r>
        <w:t xml:space="preserve"> is installed successfully and generate an HTML document that displays the aforementioned plots.  For more information on how to install this Python extension, please consult the </w:t>
      </w:r>
      <w:r w:rsidRPr="001B4806">
        <w:rPr>
          <w:b/>
        </w:rPr>
        <w:t xml:space="preserve">Getting Started </w:t>
      </w:r>
      <w:r w:rsidRPr="000E2C41">
        <w:rPr>
          <w:b/>
        </w:rPr>
        <w:t xml:space="preserve">section </w:t>
      </w:r>
      <w:r w:rsidRPr="000E2C41">
        <w:t>or the</w:t>
      </w:r>
      <w:r w:rsidRPr="000E2C41">
        <w:rPr>
          <w:b/>
        </w:rPr>
        <w:t xml:space="preserve"> FAQ document</w:t>
      </w:r>
      <w:r>
        <w:t xml:space="preserve"> at </w:t>
      </w:r>
      <w:hyperlink r:id="rId21" w:history="1">
        <w:r w:rsidRPr="003A78FE">
          <w:rPr>
            <w:rStyle w:val="Hyperlink"/>
          </w:rPr>
          <w:t>http://invest.ecoinformatics.org</w:t>
        </w:r>
      </w:hyperlink>
      <w:r>
        <w:t>.</w:t>
      </w:r>
    </w:p>
    <w:p w:rsidR="00FC6BFD" w:rsidRDefault="00FC6BFD" w:rsidP="00FC6BFD">
      <w:pPr>
        <w:suppressAutoHyphens/>
      </w:pPr>
    </w:p>
    <w:p w:rsidR="00FC6BFD" w:rsidRPr="00E02B36" w:rsidRDefault="00FC6BFD" w:rsidP="00FC6BFD">
      <w:pPr>
        <w:pStyle w:val="Heading1"/>
        <w:rPr>
          <w:rFonts w:ascii="Times New Roman" w:hAnsi="Times New Roman" w:cs="Times New Roman"/>
          <w:color w:val="auto"/>
        </w:rPr>
      </w:pPr>
      <w:r w:rsidRPr="00E02B36">
        <w:rPr>
          <w:rFonts w:ascii="Times New Roman" w:hAnsi="Times New Roman" w:cs="Times New Roman"/>
          <w:color w:val="auto"/>
        </w:rPr>
        <w:t>5.  Running the model</w:t>
      </w:r>
    </w:p>
    <w:p w:rsidR="00FC6BFD" w:rsidRPr="00395090" w:rsidRDefault="00FC6BFD" w:rsidP="00FC6BFD"/>
    <w:p w:rsidR="00FC6BFD" w:rsidRPr="00D53BD5" w:rsidRDefault="00FC6BFD" w:rsidP="00FC6BFD">
      <w:pPr>
        <w:jc w:val="both"/>
      </w:pPr>
      <w:r w:rsidRPr="00D53BD5">
        <w:rPr>
          <w:u w:val="single"/>
        </w:rPr>
        <w:t>Note about terminology used here</w:t>
      </w:r>
      <w:r w:rsidRPr="00D53BD5">
        <w:t>: The word ‘</w:t>
      </w:r>
      <w:r w:rsidRPr="00D53BD5">
        <w:rPr>
          <w:i/>
        </w:rPr>
        <w:t>path</w:t>
      </w:r>
      <w:r w:rsidRPr="00D53BD5">
        <w:t xml:space="preserve">’ means to navigate or drill down into a folder structure using the Open Folder dialog window that is used to select GIS layers or Excel worksheets for model input data or parameters. </w:t>
      </w:r>
    </w:p>
    <w:p w:rsidR="00FC6BFD" w:rsidRPr="00D53BD5" w:rsidRDefault="00FC6BFD" w:rsidP="00FC6BFD"/>
    <w:p w:rsidR="00FC6BFD" w:rsidRDefault="00FC6BFD" w:rsidP="00FC6BFD">
      <w:pPr>
        <w:numPr>
          <w:ilvl w:val="0"/>
          <w:numId w:val="6"/>
        </w:numPr>
        <w:tabs>
          <w:tab w:val="clear" w:pos="720"/>
          <w:tab w:val="num" w:pos="360"/>
        </w:tabs>
        <w:ind w:left="360"/>
      </w:pPr>
      <w:r w:rsidRPr="00D53BD5">
        <w:rPr>
          <w:b/>
        </w:rPr>
        <w:t>Exploring the workspace and input folders</w:t>
      </w:r>
      <w:r w:rsidRPr="00D53BD5">
        <w:t>. These folders will hold all input, intermediate and output data for the model. As with all folders for ArcGIS, these folder names must not contain any spaces or symbols. See the sample data for an example.</w:t>
      </w:r>
    </w:p>
    <w:p w:rsidR="00FC6BFD" w:rsidRPr="00D53BD5" w:rsidRDefault="00FC6BFD" w:rsidP="00FC6BFD"/>
    <w:p w:rsidR="00FC6BFD" w:rsidRDefault="00FC6BFD" w:rsidP="00FC6BFD">
      <w:pPr>
        <w:ind w:left="720"/>
      </w:pPr>
      <w:proofErr w:type="gramStart"/>
      <w:r w:rsidRPr="00D53BD5">
        <w:rPr>
          <w:u w:val="single"/>
        </w:rPr>
        <w:t>Exploring a project workspace and Input data folder</w:t>
      </w:r>
      <w:r w:rsidRPr="00D53BD5">
        <w:t>.</w:t>
      </w:r>
      <w:proofErr w:type="gramEnd"/>
      <w:r w:rsidRPr="00D53BD5">
        <w:t xml:space="preserve">  The </w:t>
      </w:r>
      <w:r>
        <w:rPr>
          <w:i/>
        </w:rPr>
        <w:t>\</w:t>
      </w:r>
      <w:proofErr w:type="spellStart"/>
      <w:r w:rsidRPr="00D53BD5">
        <w:rPr>
          <w:i/>
        </w:rPr>
        <w:t>InVEST</w:t>
      </w:r>
      <w:proofErr w:type="spellEnd"/>
      <w:r w:rsidRPr="00D53BD5">
        <w:rPr>
          <w:i/>
        </w:rPr>
        <w:t>\</w:t>
      </w:r>
      <w:proofErr w:type="spellStart"/>
      <w:r>
        <w:rPr>
          <w:i/>
        </w:rPr>
        <w:t>HabitatRiskAssess</w:t>
      </w:r>
      <w:proofErr w:type="spellEnd"/>
      <w:r>
        <w:rPr>
          <w:i/>
        </w:rPr>
        <w:t xml:space="preserve">\ </w:t>
      </w:r>
      <w:r w:rsidRPr="00D53BD5">
        <w:t xml:space="preserve">folder holds the main working </w:t>
      </w:r>
      <w:r>
        <w:t xml:space="preserve">directory </w:t>
      </w:r>
      <w:r w:rsidRPr="00D53BD5">
        <w:t xml:space="preserve">for the </w:t>
      </w:r>
      <w:r w:rsidRPr="00D53BD5">
        <w:lastRenderedPageBreak/>
        <w:t>model</w:t>
      </w:r>
      <w:r>
        <w:t xml:space="preserve">. Within this </w:t>
      </w:r>
      <w:r w:rsidRPr="00D53BD5">
        <w:t xml:space="preserve">folder there will be a subfolder named </w:t>
      </w:r>
      <w:r w:rsidRPr="00D53BD5">
        <w:rPr>
          <w:i/>
        </w:rPr>
        <w:t>‘Input’</w:t>
      </w:r>
      <w:r w:rsidRPr="00D53BD5">
        <w:t xml:space="preserve">. </w:t>
      </w:r>
      <w:r>
        <w:t>It</w:t>
      </w:r>
      <w:r w:rsidRPr="00D53BD5">
        <w:t xml:space="preserve"> holds most of the GIS and tabular data needed to setup and run the model. </w:t>
      </w:r>
    </w:p>
    <w:p w:rsidR="00FC6BFD" w:rsidRDefault="00FC6BFD" w:rsidP="00FC6BFD">
      <w:pPr>
        <w:ind w:left="720"/>
      </w:pPr>
    </w:p>
    <w:p w:rsidR="00FC6BFD" w:rsidRPr="00D53BD5" w:rsidRDefault="00FC6BFD" w:rsidP="00FC6BFD">
      <w:pPr>
        <w:ind w:left="720"/>
      </w:pPr>
      <w:r w:rsidRPr="00D53BD5">
        <w:t>The following image shows the sample folder structure and accompanying GIS data. We recommend using this folder structure as a guide to organize your workspaces and data. Refer to the following screenshots below for examples of folder structure and data organization.</w:t>
      </w:r>
    </w:p>
    <w:p w:rsidR="00FC6BFD" w:rsidRPr="00D53BD5" w:rsidRDefault="00FC6BFD" w:rsidP="00FC6BFD">
      <w:pPr>
        <w:ind w:left="720"/>
      </w:pPr>
    </w:p>
    <w:p w:rsidR="00FC6BFD" w:rsidRDefault="00FC6BFD" w:rsidP="00FC6BFD">
      <w:r>
        <w:tab/>
      </w:r>
      <w:r>
        <w:rPr>
          <w:noProof/>
        </w:rPr>
        <w:drawing>
          <wp:inline distT="0" distB="0" distL="0" distR="0" wp14:anchorId="4B2FDB96" wp14:editId="0607EC8D">
            <wp:extent cx="2734057" cy="2457793"/>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DataDirectory.PNG"/>
                    <pic:cNvPicPr/>
                  </pic:nvPicPr>
                  <pic:blipFill>
                    <a:blip r:embed="rId22">
                      <a:extLst>
                        <a:ext uri="{28A0092B-C50C-407E-A947-70E740481C1C}">
                          <a14:useLocalDpi xmlns:a14="http://schemas.microsoft.com/office/drawing/2010/main" val="0"/>
                        </a:ext>
                      </a:extLst>
                    </a:blip>
                    <a:stretch>
                      <a:fillRect/>
                    </a:stretch>
                  </pic:blipFill>
                  <pic:spPr>
                    <a:xfrm>
                      <a:off x="0" y="0"/>
                      <a:ext cx="2734057" cy="2457793"/>
                    </a:xfrm>
                    <a:prstGeom prst="rect">
                      <a:avLst/>
                    </a:prstGeom>
                  </pic:spPr>
                </pic:pic>
              </a:graphicData>
            </a:graphic>
          </wp:inline>
        </w:drawing>
      </w:r>
    </w:p>
    <w:p w:rsidR="00FC6BFD" w:rsidRPr="00D53BD5" w:rsidRDefault="00FC6BFD" w:rsidP="00FC6BFD"/>
    <w:p w:rsidR="00FC6BFD" w:rsidRDefault="00FC6BFD" w:rsidP="00FC6BFD">
      <w:pPr>
        <w:numPr>
          <w:ilvl w:val="0"/>
          <w:numId w:val="6"/>
        </w:numPr>
        <w:ind w:left="360"/>
      </w:pPr>
      <w:r w:rsidRPr="00D53BD5">
        <w:rPr>
          <w:b/>
        </w:rPr>
        <w:t xml:space="preserve">Creating a run of the </w:t>
      </w:r>
      <w:r>
        <w:rPr>
          <w:b/>
        </w:rPr>
        <w:t>model</w:t>
      </w:r>
      <w:r w:rsidRPr="00D53BD5">
        <w:rPr>
          <w:b/>
        </w:rPr>
        <w:t xml:space="preserve">. </w:t>
      </w:r>
      <w:r w:rsidRPr="00D53BD5">
        <w:t xml:space="preserve">The following example of setting up the </w:t>
      </w:r>
      <w:r>
        <w:t xml:space="preserve">HRA model </w:t>
      </w:r>
      <w:r w:rsidRPr="00D53BD5">
        <w:t xml:space="preserve">uses the sample data and folder structure supplied with the </w:t>
      </w:r>
      <w:proofErr w:type="spellStart"/>
      <w:r w:rsidRPr="00D53BD5">
        <w:t>InVEST</w:t>
      </w:r>
      <w:proofErr w:type="spellEnd"/>
      <w:r w:rsidRPr="00D53BD5">
        <w:t xml:space="preserve"> installation package (see the </w:t>
      </w:r>
      <w:r w:rsidRPr="00D53BD5">
        <w:rPr>
          <w:b/>
        </w:rPr>
        <w:t>Data Needs</w:t>
      </w:r>
      <w:r w:rsidRPr="00D53BD5">
        <w:t xml:space="preserve"> section for a more complete description of the data).  These instructions only provide a guideline on how to specify to ArcGIS the various types of data needed and does not represent any site-specific model parameters. Users might choose different input parameters and/or have location-specific data to use in place of the sample data.</w:t>
      </w:r>
    </w:p>
    <w:p w:rsidR="00FC6BFD" w:rsidRPr="00D53BD5" w:rsidRDefault="00FC6BFD" w:rsidP="00FC6BFD"/>
    <w:p w:rsidR="00FC6BFD" w:rsidRDefault="00FC6BFD" w:rsidP="00FC6BFD">
      <w:pPr>
        <w:numPr>
          <w:ilvl w:val="1"/>
          <w:numId w:val="6"/>
        </w:numPr>
        <w:ind w:left="1080"/>
      </w:pPr>
      <w:r w:rsidRPr="000F0A2F">
        <w:t xml:space="preserve">Click the plus symbol </w:t>
      </w:r>
      <w:r>
        <w:rPr>
          <w:noProof/>
        </w:rPr>
        <w:drawing>
          <wp:inline distT="0" distB="0" distL="0" distR="0" wp14:anchorId="790A95A4" wp14:editId="261BAC2A">
            <wp:extent cx="390525" cy="238125"/>
            <wp:effectExtent l="0" t="0" r="0" b="0"/>
            <wp:docPr id="24" name="Picture 7" descr="Toolbox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olboxPlu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25" cy="238125"/>
                    </a:xfrm>
                    <a:prstGeom prst="rect">
                      <a:avLst/>
                    </a:prstGeom>
                    <a:noFill/>
                    <a:ln>
                      <a:noFill/>
                    </a:ln>
                  </pic:spPr>
                </pic:pic>
              </a:graphicData>
            </a:graphic>
          </wp:inline>
        </w:drawing>
      </w:r>
      <w:r w:rsidRPr="000F0A2F">
        <w:t xml:space="preserve"> next to the </w:t>
      </w:r>
      <w:proofErr w:type="spellStart"/>
      <w:r w:rsidRPr="000F0A2F">
        <w:t>InVEST</w:t>
      </w:r>
      <w:proofErr w:type="spellEnd"/>
      <w:r w:rsidRPr="000F0A2F">
        <w:t xml:space="preserve"> toolbox.</w:t>
      </w:r>
    </w:p>
    <w:p w:rsidR="00FC6BFD" w:rsidRPr="00D53BD5" w:rsidRDefault="00FC6BFD" w:rsidP="00FC6BFD"/>
    <w:p w:rsidR="00FC6BFD" w:rsidRDefault="00FC6BFD" w:rsidP="00FC6BFD">
      <w:pPr>
        <w:numPr>
          <w:ilvl w:val="1"/>
          <w:numId w:val="6"/>
        </w:numPr>
        <w:ind w:left="1080"/>
      </w:pPr>
      <w:r w:rsidRPr="000F0A2F">
        <w:t xml:space="preserve">Expand the Marine toolset and click on the </w:t>
      </w:r>
      <w:r>
        <w:t>HRA</w:t>
      </w:r>
      <w:r w:rsidRPr="000F0A2F">
        <w:t xml:space="preserve"> script </w:t>
      </w:r>
      <w:r>
        <w:rPr>
          <w:noProof/>
        </w:rPr>
        <w:drawing>
          <wp:inline distT="0" distB="0" distL="0" distR="0" wp14:anchorId="0EA89D34" wp14:editId="75A3947A">
            <wp:extent cx="1771897" cy="1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Script.PNG"/>
                    <pic:cNvPicPr/>
                  </pic:nvPicPr>
                  <pic:blipFill>
                    <a:blip r:embed="rId24">
                      <a:extLst>
                        <a:ext uri="{28A0092B-C50C-407E-A947-70E740481C1C}">
                          <a14:useLocalDpi xmlns:a14="http://schemas.microsoft.com/office/drawing/2010/main" val="0"/>
                        </a:ext>
                      </a:extLst>
                    </a:blip>
                    <a:stretch>
                      <a:fillRect/>
                    </a:stretch>
                  </pic:blipFill>
                  <pic:spPr>
                    <a:xfrm>
                      <a:off x="0" y="0"/>
                      <a:ext cx="1771897" cy="190527"/>
                    </a:xfrm>
                    <a:prstGeom prst="rect">
                      <a:avLst/>
                    </a:prstGeom>
                  </pic:spPr>
                </pic:pic>
              </a:graphicData>
            </a:graphic>
          </wp:inline>
        </w:drawing>
      </w:r>
      <w:r w:rsidRPr="000F0A2F">
        <w:t xml:space="preserve"> to open the model. </w:t>
      </w:r>
    </w:p>
    <w:p w:rsidR="00FC6BFD" w:rsidRPr="00D53BD5" w:rsidRDefault="00FC6BFD" w:rsidP="00FC6BFD">
      <w:pPr>
        <w:ind w:left="1080"/>
      </w:pPr>
    </w:p>
    <w:p w:rsidR="00FC6BFD" w:rsidRPr="00D53BD5" w:rsidRDefault="00FC6BFD" w:rsidP="00FC6BFD">
      <w:pPr>
        <w:ind w:left="1080"/>
      </w:pPr>
      <w:r>
        <w:rPr>
          <w:noProof/>
        </w:rPr>
        <w:lastRenderedPageBreak/>
        <w:drawing>
          <wp:inline distT="0" distB="0" distL="0" distR="0" wp14:anchorId="1F83FC31" wp14:editId="256E9E9F">
            <wp:extent cx="4600575" cy="3314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00575" cy="3314700"/>
                    </a:xfrm>
                    <a:prstGeom prst="rect">
                      <a:avLst/>
                    </a:prstGeom>
                  </pic:spPr>
                </pic:pic>
              </a:graphicData>
            </a:graphic>
          </wp:inline>
        </w:drawing>
      </w:r>
    </w:p>
    <w:p w:rsidR="00FC6BFD" w:rsidRPr="00D53BD5" w:rsidRDefault="00FC6BFD" w:rsidP="00FC6BFD">
      <w:pPr>
        <w:ind w:left="1080"/>
      </w:pPr>
    </w:p>
    <w:p w:rsidR="00FC6BFD" w:rsidRPr="00D53BD5" w:rsidRDefault="00FC6BFD" w:rsidP="00FC6BFD">
      <w:pPr>
        <w:numPr>
          <w:ilvl w:val="1"/>
          <w:numId w:val="6"/>
        </w:numPr>
        <w:ind w:left="1080"/>
      </w:pPr>
      <w:r w:rsidRPr="00D53BD5">
        <w:rPr>
          <w:u w:val="single"/>
        </w:rPr>
        <w:t>Specify the Workspace</w:t>
      </w:r>
      <w:r w:rsidRPr="00D53BD5">
        <w:t xml:space="preserve">. Open </w:t>
      </w:r>
      <w:r w:rsidRPr="00D53BD5">
        <w:rPr>
          <w:noProof/>
        </w:rPr>
        <w:drawing>
          <wp:inline distT="0" distB="0" distL="0" distR="0" wp14:anchorId="1FC803CB" wp14:editId="574647E7">
            <wp:extent cx="182880" cy="191135"/>
            <wp:effectExtent l="0" t="0" r="7620" b="0"/>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 cy="191135"/>
                    </a:xfrm>
                    <a:prstGeom prst="rect">
                      <a:avLst/>
                    </a:prstGeom>
                    <a:noFill/>
                    <a:ln>
                      <a:noFill/>
                    </a:ln>
                  </pic:spPr>
                </pic:pic>
              </a:graphicData>
            </a:graphic>
          </wp:inline>
        </w:drawing>
      </w:r>
      <w:r w:rsidRPr="00D53BD5">
        <w:t xml:space="preserve"> the </w:t>
      </w:r>
      <w:proofErr w:type="spellStart"/>
      <w:r w:rsidRPr="00D53BD5">
        <w:rPr>
          <w:i/>
        </w:rPr>
        <w:t>InVEST</w:t>
      </w:r>
      <w:proofErr w:type="spellEnd"/>
      <w:r w:rsidRPr="00D53BD5">
        <w:rPr>
          <w:i/>
        </w:rPr>
        <w:t xml:space="preserve"> </w:t>
      </w:r>
      <w:r w:rsidRPr="00D53BD5">
        <w:t>workspace. If you created your own workspace folder (Step 1), then select it here.</w:t>
      </w:r>
    </w:p>
    <w:p w:rsidR="00FC6BFD" w:rsidRPr="00D53BD5" w:rsidRDefault="00FC6BFD" w:rsidP="00FC6BFD">
      <w:pPr>
        <w:tabs>
          <w:tab w:val="num" w:pos="1080"/>
        </w:tabs>
        <w:ind w:left="1080"/>
      </w:pPr>
    </w:p>
    <w:p w:rsidR="00FC6BFD" w:rsidRPr="00D53BD5" w:rsidRDefault="00FC6BFD" w:rsidP="00FC6BFD">
      <w:pPr>
        <w:tabs>
          <w:tab w:val="num" w:pos="1080"/>
        </w:tabs>
        <w:ind w:left="1080"/>
      </w:pPr>
      <w:r w:rsidRPr="00D53BD5">
        <w:t xml:space="preserve">Select the </w:t>
      </w:r>
      <w:proofErr w:type="spellStart"/>
      <w:r>
        <w:rPr>
          <w:i/>
        </w:rPr>
        <w:t>HabitatRiskAssess</w:t>
      </w:r>
      <w:proofErr w:type="spellEnd"/>
      <w:r w:rsidDel="0036116E">
        <w:rPr>
          <w:i/>
        </w:rPr>
        <w:t xml:space="preserve"> </w:t>
      </w:r>
      <w:r w:rsidRPr="00D53BD5">
        <w:t xml:space="preserve">folder and click </w:t>
      </w:r>
      <w:r w:rsidRPr="00D53BD5">
        <w:rPr>
          <w:noProof/>
        </w:rPr>
        <w:drawing>
          <wp:inline distT="0" distB="0" distL="0" distR="0" wp14:anchorId="3E415BDC" wp14:editId="6C6DD2D2">
            <wp:extent cx="564515" cy="174625"/>
            <wp:effectExtent l="0" t="0" r="6985" b="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4515" cy="174625"/>
                    </a:xfrm>
                    <a:prstGeom prst="rect">
                      <a:avLst/>
                    </a:prstGeom>
                    <a:noFill/>
                    <a:ln>
                      <a:noFill/>
                    </a:ln>
                  </pic:spPr>
                </pic:pic>
              </a:graphicData>
            </a:graphic>
          </wp:inline>
        </w:drawing>
      </w:r>
      <w:r w:rsidRPr="00D53BD5">
        <w:t xml:space="preserve"> to set the main model workspace. This is the folder in which you will find the intermediate and final outputs when model is run.</w:t>
      </w:r>
      <w:r>
        <w:br/>
      </w:r>
      <w:r w:rsidRPr="00D53BD5">
        <w:t xml:space="preserve"> </w:t>
      </w:r>
      <w:r>
        <w:rPr>
          <w:noProof/>
        </w:rPr>
        <w:drawing>
          <wp:inline distT="0" distB="0" distL="0" distR="0" wp14:anchorId="4C3DC291" wp14:editId="785E0D50">
            <wp:extent cx="1476581" cy="38105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Workspace.PNG"/>
                    <pic:cNvPicPr/>
                  </pic:nvPicPr>
                  <pic:blipFill>
                    <a:blip r:embed="rId28">
                      <a:extLst>
                        <a:ext uri="{28A0092B-C50C-407E-A947-70E740481C1C}">
                          <a14:useLocalDpi xmlns:a14="http://schemas.microsoft.com/office/drawing/2010/main" val="0"/>
                        </a:ext>
                      </a:extLst>
                    </a:blip>
                    <a:stretch>
                      <a:fillRect/>
                    </a:stretch>
                  </pic:blipFill>
                  <pic:spPr>
                    <a:xfrm>
                      <a:off x="0" y="0"/>
                      <a:ext cx="1476581" cy="381053"/>
                    </a:xfrm>
                    <a:prstGeom prst="rect">
                      <a:avLst/>
                    </a:prstGeom>
                  </pic:spPr>
                </pic:pic>
              </a:graphicData>
            </a:graphic>
          </wp:inline>
        </w:drawing>
      </w:r>
    </w:p>
    <w:p w:rsidR="00FC6BFD" w:rsidRPr="00D53BD5" w:rsidRDefault="00FC6BFD" w:rsidP="00FC6BFD"/>
    <w:p w:rsidR="00FC6BFD" w:rsidRDefault="00FC6BFD" w:rsidP="00FC6BFD">
      <w:pPr>
        <w:numPr>
          <w:ilvl w:val="1"/>
          <w:numId w:val="6"/>
        </w:numPr>
        <w:ind w:left="1080"/>
      </w:pPr>
      <w:r>
        <w:rPr>
          <w:u w:val="single"/>
        </w:rPr>
        <w:t>Specify the Analysis Zones Layer</w:t>
      </w:r>
      <w:r w:rsidRPr="00DD0F5F">
        <w:t xml:space="preserve">. </w:t>
      </w:r>
      <w:r>
        <w:t>This input is the actual layer to be used for the overlap analysis.  Depending on your choice for the previous input, c</w:t>
      </w:r>
      <w:r w:rsidRPr="00DD0F5F">
        <w:t xml:space="preserve">lick </w:t>
      </w:r>
      <w:r>
        <w:rPr>
          <w:noProof/>
        </w:rPr>
        <w:drawing>
          <wp:inline distT="0" distB="0" distL="0" distR="0" wp14:anchorId="4B31B1B2" wp14:editId="4C7AC86A">
            <wp:extent cx="180975" cy="190500"/>
            <wp:effectExtent l="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DD0F5F">
        <w:t xml:space="preserve"> and path to</w:t>
      </w:r>
      <w:r>
        <w:t xml:space="preserve"> \</w:t>
      </w:r>
      <w:proofErr w:type="spellStart"/>
      <w:r w:rsidRPr="00DD0F5F">
        <w:rPr>
          <w:i/>
        </w:rPr>
        <w:t>InVE</w:t>
      </w:r>
      <w:r>
        <w:rPr>
          <w:i/>
        </w:rPr>
        <w:t>ST</w:t>
      </w:r>
      <w:proofErr w:type="spellEnd"/>
      <w:r>
        <w:rPr>
          <w:i/>
        </w:rPr>
        <w:t>\</w:t>
      </w:r>
      <w:proofErr w:type="spellStart"/>
      <w:r>
        <w:rPr>
          <w:i/>
        </w:rPr>
        <w:t>GridSeascape</w:t>
      </w:r>
      <w:proofErr w:type="spellEnd"/>
      <w:r>
        <w:t xml:space="preserve"> directory and select the polygon </w:t>
      </w:r>
      <w:proofErr w:type="spellStart"/>
      <w:r>
        <w:t>shapefile</w:t>
      </w:r>
      <w:proofErr w:type="spellEnd"/>
      <w:r>
        <w:t xml:space="preserve"> in the “Output” folder from a successful GS tool run.</w:t>
      </w:r>
    </w:p>
    <w:p w:rsidR="00FC6BFD" w:rsidRDefault="00FC6BFD" w:rsidP="00FC6BFD">
      <w:pPr>
        <w:ind w:left="1080"/>
      </w:pPr>
      <w:r>
        <w:rPr>
          <w:noProof/>
        </w:rPr>
        <w:drawing>
          <wp:inline distT="0" distB="0" distL="0" distR="0" wp14:anchorId="1D6760AE" wp14:editId="21F4A258">
            <wp:extent cx="2686425" cy="3810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GS_Input.PNG"/>
                    <pic:cNvPicPr/>
                  </pic:nvPicPr>
                  <pic:blipFill>
                    <a:blip r:embed="rId29">
                      <a:extLst>
                        <a:ext uri="{28A0092B-C50C-407E-A947-70E740481C1C}">
                          <a14:useLocalDpi xmlns:a14="http://schemas.microsoft.com/office/drawing/2010/main" val="0"/>
                        </a:ext>
                      </a:extLst>
                    </a:blip>
                    <a:stretch>
                      <a:fillRect/>
                    </a:stretch>
                  </pic:blipFill>
                  <pic:spPr>
                    <a:xfrm>
                      <a:off x="0" y="0"/>
                      <a:ext cx="2686425" cy="381053"/>
                    </a:xfrm>
                    <a:prstGeom prst="rect">
                      <a:avLst/>
                    </a:prstGeom>
                  </pic:spPr>
                </pic:pic>
              </a:graphicData>
            </a:graphic>
          </wp:inline>
        </w:drawing>
      </w:r>
    </w:p>
    <w:p w:rsidR="00FC6BFD" w:rsidRDefault="00FC6BFD" w:rsidP="00FC6BFD"/>
    <w:p w:rsidR="00FC6BFD" w:rsidRDefault="00FC6BFD" w:rsidP="00FC6BFD">
      <w:pPr>
        <w:numPr>
          <w:ilvl w:val="1"/>
          <w:numId w:val="6"/>
        </w:numPr>
        <w:tabs>
          <w:tab w:val="num" w:pos="1080"/>
        </w:tabs>
        <w:ind w:left="1080"/>
      </w:pPr>
      <w:r w:rsidRPr="00DD0F5F">
        <w:rPr>
          <w:u w:val="single"/>
        </w:rPr>
        <w:t xml:space="preserve">Specify the </w:t>
      </w:r>
      <w:r>
        <w:rPr>
          <w:u w:val="single"/>
        </w:rPr>
        <w:t>Habitat Data Directory</w:t>
      </w:r>
      <w:r w:rsidRPr="00DD0F5F">
        <w:t xml:space="preserve">. The model requires the folder location of </w:t>
      </w:r>
      <w:r>
        <w:t>spatial habitat data</w:t>
      </w:r>
      <w:r w:rsidRPr="00DD0F5F">
        <w:t xml:space="preserve">. Click </w:t>
      </w:r>
      <w:r>
        <w:rPr>
          <w:noProof/>
        </w:rPr>
        <w:drawing>
          <wp:inline distT="0" distB="0" distL="0" distR="0" wp14:anchorId="4104C71C" wp14:editId="6F575F66">
            <wp:extent cx="180975" cy="19050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DD0F5F">
        <w:t xml:space="preserve"> and path to the </w:t>
      </w:r>
      <w:r>
        <w:br/>
        <w:t>\</w:t>
      </w:r>
      <w:proofErr w:type="spellStart"/>
      <w:r>
        <w:rPr>
          <w:i/>
        </w:rPr>
        <w:t>InVEST</w:t>
      </w:r>
      <w:proofErr w:type="spellEnd"/>
      <w:r>
        <w:rPr>
          <w:i/>
        </w:rPr>
        <w:t>\</w:t>
      </w:r>
      <w:proofErr w:type="spellStart"/>
      <w:r>
        <w:rPr>
          <w:i/>
        </w:rPr>
        <w:t>HabitatRiskAssess</w:t>
      </w:r>
      <w:proofErr w:type="spellEnd"/>
      <w:r>
        <w:rPr>
          <w:i/>
        </w:rPr>
        <w:t>\Input\</w:t>
      </w:r>
      <w:r w:rsidRPr="00DD0F5F">
        <w:t xml:space="preserve"> folder. Select the </w:t>
      </w:r>
      <w:proofErr w:type="spellStart"/>
      <w:r>
        <w:rPr>
          <w:i/>
        </w:rPr>
        <w:t>HabitatLayers</w:t>
      </w:r>
      <w:proofErr w:type="spellEnd"/>
      <w:r w:rsidRPr="00DD0F5F">
        <w:t xml:space="preserve"> folder and click </w:t>
      </w:r>
      <w:r>
        <w:rPr>
          <w:noProof/>
        </w:rPr>
        <w:drawing>
          <wp:inline distT="0" distB="0" distL="0" distR="0" wp14:anchorId="05F3D148" wp14:editId="75B06921">
            <wp:extent cx="609600" cy="238125"/>
            <wp:effectExtent l="0" t="0" r="0" b="0"/>
            <wp:docPr id="33" name="Picture 1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r w:rsidRPr="00DD0F5F">
        <w:t xml:space="preserve"> to set </w:t>
      </w:r>
      <w:r>
        <w:t>this</w:t>
      </w:r>
      <w:r w:rsidRPr="00DD0F5F">
        <w:t xml:space="preserve"> data folder.</w:t>
      </w:r>
      <w:r>
        <w:br/>
      </w:r>
      <w:r>
        <w:rPr>
          <w:noProof/>
        </w:rPr>
        <w:drawing>
          <wp:inline distT="0" distB="0" distL="0" distR="0" wp14:anchorId="0BBE1D1D" wp14:editId="176F9A69">
            <wp:extent cx="2438741" cy="3810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HabLayers.PNG"/>
                    <pic:cNvPicPr/>
                  </pic:nvPicPr>
                  <pic:blipFill>
                    <a:blip r:embed="rId31">
                      <a:extLst>
                        <a:ext uri="{28A0092B-C50C-407E-A947-70E740481C1C}">
                          <a14:useLocalDpi xmlns:a14="http://schemas.microsoft.com/office/drawing/2010/main" val="0"/>
                        </a:ext>
                      </a:extLst>
                    </a:blip>
                    <a:stretch>
                      <a:fillRect/>
                    </a:stretch>
                  </pic:blipFill>
                  <pic:spPr>
                    <a:xfrm>
                      <a:off x="0" y="0"/>
                      <a:ext cx="2438741" cy="381053"/>
                    </a:xfrm>
                    <a:prstGeom prst="rect">
                      <a:avLst/>
                    </a:prstGeom>
                  </pic:spPr>
                </pic:pic>
              </a:graphicData>
            </a:graphic>
          </wp:inline>
        </w:drawing>
      </w:r>
    </w:p>
    <w:p w:rsidR="00FC6BFD" w:rsidRDefault="00FC6BFD" w:rsidP="00FC6BFD">
      <w:pPr>
        <w:pStyle w:val="ListParagraph"/>
      </w:pPr>
    </w:p>
    <w:p w:rsidR="00FC6BFD" w:rsidRDefault="00FC6BFD" w:rsidP="00FC6BFD">
      <w:pPr>
        <w:numPr>
          <w:ilvl w:val="1"/>
          <w:numId w:val="6"/>
        </w:numPr>
        <w:tabs>
          <w:tab w:val="num" w:pos="1080"/>
        </w:tabs>
        <w:ind w:left="1080"/>
      </w:pPr>
      <w:r w:rsidRPr="00DD0F5F">
        <w:rPr>
          <w:u w:val="single"/>
        </w:rPr>
        <w:lastRenderedPageBreak/>
        <w:t xml:space="preserve">Specify the </w:t>
      </w:r>
      <w:r>
        <w:rPr>
          <w:u w:val="single"/>
        </w:rPr>
        <w:t>Stressor Data Directory</w:t>
      </w:r>
      <w:r w:rsidRPr="00DD0F5F">
        <w:t xml:space="preserve">. The model requires the folder location of </w:t>
      </w:r>
      <w:r>
        <w:t>spatial stressor data</w:t>
      </w:r>
      <w:r w:rsidRPr="00DD0F5F">
        <w:t xml:space="preserve">. Click </w:t>
      </w:r>
      <w:r>
        <w:rPr>
          <w:noProof/>
        </w:rPr>
        <w:drawing>
          <wp:inline distT="0" distB="0" distL="0" distR="0" wp14:anchorId="2F835C74" wp14:editId="5D7E8B5B">
            <wp:extent cx="180975" cy="190500"/>
            <wp:effectExtent l="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t xml:space="preserve"> and path to the \</w:t>
      </w:r>
      <w:proofErr w:type="spellStart"/>
      <w:r>
        <w:rPr>
          <w:i/>
        </w:rPr>
        <w:t>InVEST</w:t>
      </w:r>
      <w:proofErr w:type="spellEnd"/>
      <w:r>
        <w:rPr>
          <w:i/>
        </w:rPr>
        <w:t>\</w:t>
      </w:r>
      <w:proofErr w:type="spellStart"/>
      <w:r>
        <w:rPr>
          <w:i/>
        </w:rPr>
        <w:t>HabitatRiskAssess</w:t>
      </w:r>
      <w:proofErr w:type="spellEnd"/>
      <w:r>
        <w:rPr>
          <w:i/>
        </w:rPr>
        <w:t>\Input\</w:t>
      </w:r>
      <w:r>
        <w:t xml:space="preserve"> </w:t>
      </w:r>
      <w:r w:rsidRPr="00DD0F5F">
        <w:t xml:space="preserve">folder. Select the </w:t>
      </w:r>
      <w:proofErr w:type="spellStart"/>
      <w:r>
        <w:rPr>
          <w:i/>
        </w:rPr>
        <w:t>StressorLayers</w:t>
      </w:r>
      <w:proofErr w:type="spellEnd"/>
      <w:r w:rsidRPr="00DD0F5F">
        <w:t xml:space="preserve"> folder and click </w:t>
      </w:r>
      <w:r>
        <w:rPr>
          <w:noProof/>
        </w:rPr>
        <w:drawing>
          <wp:inline distT="0" distB="0" distL="0" distR="0" wp14:anchorId="5AB50B42" wp14:editId="6E7DBDB6">
            <wp:extent cx="609600" cy="238125"/>
            <wp:effectExtent l="0" t="0" r="0" b="0"/>
            <wp:docPr id="36" name="Picture 11"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r w:rsidRPr="00DD0F5F">
        <w:t xml:space="preserve"> to set </w:t>
      </w:r>
      <w:r>
        <w:t>this</w:t>
      </w:r>
      <w:r w:rsidRPr="00DD0F5F">
        <w:t xml:space="preserve"> data folder.</w:t>
      </w:r>
      <w:r>
        <w:br/>
      </w:r>
      <w:r>
        <w:rPr>
          <w:noProof/>
        </w:rPr>
        <w:drawing>
          <wp:inline distT="0" distB="0" distL="0" distR="0" wp14:anchorId="68E3EE0B" wp14:editId="0B3010D0">
            <wp:extent cx="2524478" cy="39058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StressLayers.PNG"/>
                    <pic:cNvPicPr/>
                  </pic:nvPicPr>
                  <pic:blipFill>
                    <a:blip r:embed="rId32">
                      <a:extLst>
                        <a:ext uri="{28A0092B-C50C-407E-A947-70E740481C1C}">
                          <a14:useLocalDpi xmlns:a14="http://schemas.microsoft.com/office/drawing/2010/main" val="0"/>
                        </a:ext>
                      </a:extLst>
                    </a:blip>
                    <a:stretch>
                      <a:fillRect/>
                    </a:stretch>
                  </pic:blipFill>
                  <pic:spPr>
                    <a:xfrm>
                      <a:off x="0" y="0"/>
                      <a:ext cx="2524478" cy="390580"/>
                    </a:xfrm>
                    <a:prstGeom prst="rect">
                      <a:avLst/>
                    </a:prstGeom>
                  </pic:spPr>
                </pic:pic>
              </a:graphicData>
            </a:graphic>
          </wp:inline>
        </w:drawing>
      </w:r>
    </w:p>
    <w:p w:rsidR="00FC6BFD" w:rsidRDefault="00FC6BFD" w:rsidP="00FC6BFD"/>
    <w:p w:rsidR="00FC6BFD" w:rsidRDefault="00FC6BFD" w:rsidP="00FC6BFD">
      <w:pPr>
        <w:numPr>
          <w:ilvl w:val="1"/>
          <w:numId w:val="6"/>
        </w:numPr>
        <w:ind w:left="1080"/>
      </w:pPr>
      <w:r w:rsidRPr="009D598B">
        <w:rPr>
          <w:u w:val="single"/>
        </w:rPr>
        <w:t xml:space="preserve">Specify the </w:t>
      </w:r>
      <w:r>
        <w:rPr>
          <w:u w:val="single"/>
        </w:rPr>
        <w:t>Habitat-Stressor Ratings</w:t>
      </w:r>
      <w:r w:rsidRPr="009D598B">
        <w:rPr>
          <w:u w:val="single"/>
        </w:rPr>
        <w:t xml:space="preserve"> Table</w:t>
      </w:r>
      <w:r>
        <w:t>. The model requires a table of parameters for how to recognize and optionally buffer or weight each input layer.  This information must be stored in a Worksheet in an Excel workbook file (.</w:t>
      </w:r>
      <w:proofErr w:type="spellStart"/>
      <w:r>
        <w:t>xls</w:t>
      </w:r>
      <w:proofErr w:type="spellEnd"/>
      <w:r>
        <w:t>).</w:t>
      </w:r>
      <w:r w:rsidRPr="009D598B">
        <w:t xml:space="preserve"> </w:t>
      </w:r>
      <w:r>
        <w:t xml:space="preserve">See the </w:t>
      </w:r>
      <w:r w:rsidRPr="009D598B">
        <w:rPr>
          <w:b/>
        </w:rPr>
        <w:t>Data Needs</w:t>
      </w:r>
      <w:r>
        <w:t xml:space="preserve"> section for more information on creating and formatting these data.  This worksheet will be supplied for you.</w:t>
      </w:r>
      <w:r>
        <w:br/>
      </w:r>
    </w:p>
    <w:p w:rsidR="00FC6BFD" w:rsidRDefault="00FC6BFD" w:rsidP="00FC6BFD">
      <w:pPr>
        <w:ind w:left="1080"/>
      </w:pPr>
      <w:proofErr w:type="gramStart"/>
      <w:r>
        <w:t xml:space="preserve">Click </w:t>
      </w:r>
      <w:r>
        <w:rPr>
          <w:noProof/>
        </w:rPr>
        <w:drawing>
          <wp:inline distT="0" distB="0" distL="0" distR="0" wp14:anchorId="4E01B5DB" wp14:editId="32AA788A">
            <wp:extent cx="180975" cy="190500"/>
            <wp:effectExtent l="0" t="0" r="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t xml:space="preserve"> and path to the \</w:t>
      </w:r>
      <w:proofErr w:type="spellStart"/>
      <w:r w:rsidRPr="000F686F">
        <w:rPr>
          <w:i/>
        </w:rPr>
        <w:t>InVEST</w:t>
      </w:r>
      <w:proofErr w:type="spellEnd"/>
      <w:r>
        <w:rPr>
          <w:i/>
        </w:rPr>
        <w:t>\</w:t>
      </w:r>
      <w:proofErr w:type="spellStart"/>
      <w:r>
        <w:rPr>
          <w:i/>
        </w:rPr>
        <w:t>HabitatRiskAssess</w:t>
      </w:r>
      <w:proofErr w:type="spellEnd"/>
      <w:r>
        <w:rPr>
          <w:i/>
        </w:rPr>
        <w:t>\</w:t>
      </w:r>
      <w:r w:rsidRPr="000F686F">
        <w:rPr>
          <w:i/>
        </w:rPr>
        <w:t>Input</w:t>
      </w:r>
      <w:r>
        <w:t xml:space="preserve"> data folder.</w:t>
      </w:r>
      <w:proofErr w:type="gramEnd"/>
      <w:r>
        <w:t xml:space="preserve"> Double left-click on the Excel </w:t>
      </w:r>
      <w:proofErr w:type="gramStart"/>
      <w:r>
        <w:t>file</w:t>
      </w:r>
      <w:proofErr w:type="gramEnd"/>
      <w:r>
        <w:t xml:space="preserve"> </w:t>
      </w:r>
      <w:r w:rsidRPr="00105FF4">
        <w:rPr>
          <w:i/>
        </w:rPr>
        <w:t>HabitatStressor_RatingsTable_WCVI.xls</w:t>
      </w:r>
    </w:p>
    <w:p w:rsidR="00FC6BFD" w:rsidRDefault="00FC6BFD" w:rsidP="00FC6BFD">
      <w:pPr>
        <w:tabs>
          <w:tab w:val="num" w:pos="1080"/>
        </w:tabs>
      </w:pPr>
      <w:r>
        <w:tab/>
        <w:t xml:space="preserve">Click </w:t>
      </w:r>
      <w:r>
        <w:rPr>
          <w:noProof/>
        </w:rPr>
        <w:drawing>
          <wp:inline distT="0" distB="0" distL="0" distR="0" wp14:anchorId="50DF01C6" wp14:editId="1653F940">
            <wp:extent cx="571500" cy="238125"/>
            <wp:effectExtent l="0" t="0" r="0" b="0"/>
            <wp:docPr id="38" name="Picture 18"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t xml:space="preserve"> to make the selection.</w:t>
      </w:r>
    </w:p>
    <w:p w:rsidR="00FC6BFD" w:rsidRDefault="00FC6BFD" w:rsidP="00FC6BFD">
      <w:pPr>
        <w:tabs>
          <w:tab w:val="num" w:pos="1080"/>
        </w:tabs>
      </w:pPr>
      <w:r>
        <w:tab/>
      </w:r>
      <w:r>
        <w:rPr>
          <w:noProof/>
        </w:rPr>
        <w:drawing>
          <wp:inline distT="0" distB="0" distL="0" distR="0" wp14:anchorId="2E8DCA71" wp14:editId="109C21C0">
            <wp:extent cx="3696216" cy="400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HabStressTableInput.PNG"/>
                    <pic:cNvPicPr/>
                  </pic:nvPicPr>
                  <pic:blipFill>
                    <a:blip r:embed="rId33">
                      <a:extLst>
                        <a:ext uri="{28A0092B-C50C-407E-A947-70E740481C1C}">
                          <a14:useLocalDpi xmlns:a14="http://schemas.microsoft.com/office/drawing/2010/main" val="0"/>
                        </a:ext>
                      </a:extLst>
                    </a:blip>
                    <a:stretch>
                      <a:fillRect/>
                    </a:stretch>
                  </pic:blipFill>
                  <pic:spPr>
                    <a:xfrm>
                      <a:off x="0" y="0"/>
                      <a:ext cx="3696216" cy="400106"/>
                    </a:xfrm>
                    <a:prstGeom prst="rect">
                      <a:avLst/>
                    </a:prstGeom>
                  </pic:spPr>
                </pic:pic>
              </a:graphicData>
            </a:graphic>
          </wp:inline>
        </w:drawing>
      </w:r>
    </w:p>
    <w:p w:rsidR="00FC6BFD" w:rsidRDefault="00FC6BFD" w:rsidP="00FC6BFD">
      <w:pPr>
        <w:tabs>
          <w:tab w:val="num" w:pos="1080"/>
        </w:tabs>
      </w:pPr>
    </w:p>
    <w:p w:rsidR="00FC6BFD" w:rsidRPr="00E449FD" w:rsidRDefault="00FC6BFD" w:rsidP="00FC6BFD">
      <w:pPr>
        <w:pStyle w:val="ListParagraph"/>
        <w:numPr>
          <w:ilvl w:val="0"/>
          <w:numId w:val="8"/>
        </w:numPr>
        <w:tabs>
          <w:tab w:val="num" w:pos="1080"/>
        </w:tabs>
        <w:ind w:left="1080"/>
        <w:rPr>
          <w:rFonts w:ascii="Times New Roman" w:hAnsi="Times New Roman" w:cs="Times New Roman"/>
        </w:rPr>
      </w:pPr>
      <w:r w:rsidRPr="00553A8E">
        <w:rPr>
          <w:rFonts w:ascii="Times New Roman" w:hAnsi="Times New Roman" w:cs="Times New Roman"/>
        </w:rPr>
        <w:t xml:space="preserve">Specify the </w:t>
      </w:r>
      <w:r>
        <w:rPr>
          <w:rFonts w:ascii="Times New Roman" w:hAnsi="Times New Roman" w:cs="Times New Roman"/>
        </w:rPr>
        <w:t>Plotting Functionality</w:t>
      </w:r>
      <w:r w:rsidRPr="00553A8E">
        <w:rPr>
          <w:rFonts w:ascii="Times New Roman" w:hAnsi="Times New Roman" w:cs="Times New Roman"/>
        </w:rPr>
        <w:t xml:space="preserve"> (Optional). To </w:t>
      </w:r>
      <w:r>
        <w:rPr>
          <w:rFonts w:ascii="Times New Roman" w:hAnsi="Times New Roman" w:cs="Times New Roman"/>
        </w:rPr>
        <w:t>plot risk scoring</w:t>
      </w:r>
      <w:r w:rsidRPr="00553A8E">
        <w:rPr>
          <w:rFonts w:ascii="Times New Roman" w:hAnsi="Times New Roman" w:cs="Times New Roman"/>
        </w:rPr>
        <w:t xml:space="preserve">, click the checkbox. </w:t>
      </w:r>
      <w:r>
        <w:rPr>
          <w:rFonts w:ascii="Times New Roman" w:hAnsi="Times New Roman" w:cs="Times New Roman"/>
        </w:rPr>
        <w:t>This option is</w:t>
      </w:r>
      <w:r w:rsidRPr="00553A8E">
        <w:rPr>
          <w:rFonts w:ascii="Times New Roman" w:hAnsi="Times New Roman" w:cs="Times New Roman"/>
        </w:rPr>
        <w:t xml:space="preserve"> only available </w:t>
      </w:r>
      <w:r>
        <w:rPr>
          <w:rFonts w:ascii="Times New Roman" w:hAnsi="Times New Roman" w:cs="Times New Roman"/>
        </w:rPr>
        <w:t xml:space="preserve">if the </w:t>
      </w:r>
      <w:proofErr w:type="spellStart"/>
      <w:r>
        <w:rPr>
          <w:rFonts w:ascii="Times New Roman" w:hAnsi="Times New Roman" w:cs="Times New Roman"/>
        </w:rPr>
        <w:t>Matplotlib</w:t>
      </w:r>
      <w:proofErr w:type="spellEnd"/>
      <w:r>
        <w:rPr>
          <w:rFonts w:ascii="Times New Roman" w:hAnsi="Times New Roman" w:cs="Times New Roman"/>
        </w:rPr>
        <w:t xml:space="preserve"> Python extension is successfully installed</w:t>
      </w:r>
      <w:r w:rsidRPr="00553A8E">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br/>
        <w:t xml:space="preserve"> </w:t>
      </w:r>
      <w:r>
        <w:rPr>
          <w:noProof/>
        </w:rPr>
        <w:drawing>
          <wp:inline distT="0" distB="0" distL="0" distR="0" wp14:anchorId="50C78E47" wp14:editId="12AA173B">
            <wp:extent cx="3820058"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PlotInput.PNG"/>
                    <pic:cNvPicPr/>
                  </pic:nvPicPr>
                  <pic:blipFill>
                    <a:blip r:embed="rId34">
                      <a:extLst>
                        <a:ext uri="{28A0092B-C50C-407E-A947-70E740481C1C}">
                          <a14:useLocalDpi xmlns:a14="http://schemas.microsoft.com/office/drawing/2010/main" val="0"/>
                        </a:ext>
                      </a:extLst>
                    </a:blip>
                    <a:stretch>
                      <a:fillRect/>
                    </a:stretch>
                  </pic:blipFill>
                  <pic:spPr>
                    <a:xfrm>
                      <a:off x="0" y="0"/>
                      <a:ext cx="3820058" cy="285790"/>
                    </a:xfrm>
                    <a:prstGeom prst="rect">
                      <a:avLst/>
                    </a:prstGeom>
                  </pic:spPr>
                </pic:pic>
              </a:graphicData>
            </a:graphic>
          </wp:inline>
        </w:drawing>
      </w:r>
    </w:p>
    <w:p w:rsidR="00FC6BFD" w:rsidRPr="00DD0F5F" w:rsidRDefault="00FC6BFD" w:rsidP="00FC6BFD">
      <w:pPr>
        <w:numPr>
          <w:ilvl w:val="1"/>
          <w:numId w:val="6"/>
        </w:numPr>
        <w:ind w:left="1080"/>
      </w:pPr>
      <w:r w:rsidRPr="00DD0F5F">
        <w:t xml:space="preserve">At this point the model dialog box is completed for a complete run of the </w:t>
      </w:r>
      <w:r>
        <w:t>Habitat Risk Assessment</w:t>
      </w:r>
      <w:r w:rsidRPr="00DD0F5F">
        <w:t xml:space="preserve"> model. </w:t>
      </w:r>
    </w:p>
    <w:p w:rsidR="00FC6BFD" w:rsidRPr="00DD0F5F" w:rsidRDefault="00FC6BFD" w:rsidP="00FC6BFD">
      <w:pPr>
        <w:tabs>
          <w:tab w:val="num" w:pos="1080"/>
        </w:tabs>
        <w:ind w:left="1080"/>
      </w:pPr>
      <w:r>
        <w:rPr>
          <w:noProof/>
        </w:rPr>
        <w:lastRenderedPageBreak/>
        <w:drawing>
          <wp:inline distT="0" distB="0" distL="0" distR="0" wp14:anchorId="2249F951" wp14:editId="0AEE6BD3">
            <wp:extent cx="4686704" cy="3333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86704" cy="3333750"/>
                    </a:xfrm>
                    <a:prstGeom prst="rect">
                      <a:avLst/>
                    </a:prstGeom>
                  </pic:spPr>
                </pic:pic>
              </a:graphicData>
            </a:graphic>
          </wp:inline>
        </w:drawing>
      </w:r>
    </w:p>
    <w:p w:rsidR="00FC6BFD" w:rsidRPr="00DD0F5F" w:rsidRDefault="00FC6BFD" w:rsidP="00FC6BFD">
      <w:pPr>
        <w:ind w:left="1080"/>
      </w:pPr>
    </w:p>
    <w:p w:rsidR="00FC6BFD" w:rsidRPr="00DD0F5F" w:rsidRDefault="00FC6BFD" w:rsidP="00FC6BFD">
      <w:pPr>
        <w:ind w:left="1080"/>
      </w:pPr>
      <w:r w:rsidRPr="00DD0F5F">
        <w:t xml:space="preserve">Click </w:t>
      </w:r>
      <w:r>
        <w:rPr>
          <w:noProof/>
        </w:rPr>
        <w:drawing>
          <wp:inline distT="0" distB="0" distL="0" distR="0" wp14:anchorId="77AB377E" wp14:editId="7E7CE5AA">
            <wp:extent cx="638175" cy="228600"/>
            <wp:effectExtent l="0" t="0" r="9525" b="0"/>
            <wp:docPr id="32" name="Picture 32"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175" cy="228600"/>
                    </a:xfrm>
                    <a:prstGeom prst="rect">
                      <a:avLst/>
                    </a:prstGeom>
                    <a:noFill/>
                    <a:ln>
                      <a:noFill/>
                    </a:ln>
                  </pic:spPr>
                </pic:pic>
              </a:graphicData>
            </a:graphic>
          </wp:inline>
        </w:drawing>
      </w:r>
      <w:r w:rsidRPr="00DD0F5F">
        <w:t xml:space="preserve"> to start the model run. The model will begin to run and will show a progress window with progress information about each step in the analysis. Once the model finishes, the progress window will show all the completed steps and the amount of tim</w:t>
      </w:r>
      <w:r>
        <w:t>e necessary for the model run.</w:t>
      </w:r>
    </w:p>
    <w:p w:rsidR="00FC6BFD" w:rsidRDefault="00FC6BFD" w:rsidP="00FC6BFD">
      <w:pPr>
        <w:suppressAutoHyphens/>
      </w:pPr>
    </w:p>
    <w:p w:rsidR="00FC6BFD" w:rsidRDefault="00FC6BFD" w:rsidP="00FC6BFD">
      <w:pPr>
        <w:suppressAutoHyphens/>
        <w:ind w:left="1080"/>
      </w:pPr>
      <w:r>
        <w:rPr>
          <w:noProof/>
        </w:rPr>
        <w:drawing>
          <wp:inline distT="0" distB="0" distL="0" distR="0" wp14:anchorId="1883A591" wp14:editId="0D737A6E">
            <wp:extent cx="4686300" cy="29935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91877" cy="2997086"/>
                    </a:xfrm>
                    <a:prstGeom prst="rect">
                      <a:avLst/>
                    </a:prstGeom>
                  </pic:spPr>
                </pic:pic>
              </a:graphicData>
            </a:graphic>
          </wp:inline>
        </w:drawing>
      </w:r>
    </w:p>
    <w:p w:rsidR="00FC6BFD" w:rsidRDefault="00FC6BFD" w:rsidP="00FC6BFD">
      <w:pPr>
        <w:suppressAutoHyphens/>
      </w:pPr>
    </w:p>
    <w:p w:rsidR="00FC6BFD" w:rsidRDefault="00FC6BFD" w:rsidP="00FC6BFD">
      <w:pPr>
        <w:suppressAutoHyphens/>
      </w:pPr>
    </w:p>
    <w:p w:rsidR="00FC6BFD" w:rsidRDefault="00FC6BFD" w:rsidP="00FC6BFD">
      <w:pPr>
        <w:suppressAutoHyphens/>
      </w:pPr>
    </w:p>
    <w:p w:rsidR="00FC6BFD" w:rsidRDefault="00FC6BFD" w:rsidP="00FC6BFD">
      <w:pPr>
        <w:suppressAutoHyphens/>
      </w:pPr>
    </w:p>
    <w:p w:rsidR="00FC6BFD" w:rsidRDefault="00FC6BFD" w:rsidP="00FC6BFD">
      <w:pPr>
        <w:numPr>
          <w:ilvl w:val="0"/>
          <w:numId w:val="6"/>
        </w:numPr>
        <w:ind w:left="360"/>
        <w:rPr>
          <w:b/>
        </w:rPr>
      </w:pPr>
      <w:r w:rsidRPr="00D53BD5">
        <w:rPr>
          <w:b/>
        </w:rPr>
        <w:lastRenderedPageBreak/>
        <w:t xml:space="preserve">Multiple runs of the </w:t>
      </w:r>
      <w:r>
        <w:rPr>
          <w:b/>
        </w:rPr>
        <w:t>model</w:t>
      </w:r>
    </w:p>
    <w:p w:rsidR="00FC6BFD" w:rsidRPr="00D53BD5" w:rsidRDefault="00FC6BFD" w:rsidP="00FC6BFD"/>
    <w:p w:rsidR="00FC6BFD" w:rsidRPr="00D53BD5" w:rsidRDefault="00FC6BFD" w:rsidP="00FC6BFD">
      <w:pPr>
        <w:jc w:val="both"/>
      </w:pPr>
      <w:r w:rsidRPr="00D53BD5">
        <w:t xml:space="preserve">The </w:t>
      </w:r>
      <w:r>
        <w:t xml:space="preserve">tool </w:t>
      </w:r>
      <w:r w:rsidRPr="00D53BD5">
        <w:t>setup is the same as for a single run, but the user needs to specify a new workspace fo</w:t>
      </w:r>
      <w:r>
        <w:t xml:space="preserve">r each new run. Make sure each </w:t>
      </w:r>
      <w:r w:rsidRPr="00D53BD5">
        <w:t xml:space="preserve">workspace exists under the main </w:t>
      </w:r>
      <w:r>
        <w:t xml:space="preserve">directory </w:t>
      </w:r>
      <w:r w:rsidRPr="00D53BD5">
        <w:t xml:space="preserve">(i.e. </w:t>
      </w:r>
      <w:proofErr w:type="spellStart"/>
      <w:r>
        <w:rPr>
          <w:i/>
        </w:rPr>
        <w:t>HabitatRiskAssess</w:t>
      </w:r>
      <w:proofErr w:type="spellEnd"/>
      <w:r>
        <w:rPr>
          <w:i/>
        </w:rPr>
        <w:t xml:space="preserve"> </w:t>
      </w:r>
      <w:r w:rsidRPr="00D53BD5">
        <w:t xml:space="preserve">folder in the example above). As long as all data are contained within the main Input data folder you can use the same Input folder for multiple runs. For example, using the sample data, if you wanted to create two runs of the </w:t>
      </w:r>
      <w:r>
        <w:t xml:space="preserve">HRA </w:t>
      </w:r>
      <w:r w:rsidRPr="00D53BD5">
        <w:t xml:space="preserve">model based on two different </w:t>
      </w:r>
      <w:r>
        <w:t xml:space="preserve">data quality ratings for a fishing stressors, </w:t>
      </w:r>
      <w:r w:rsidRPr="00D53BD5">
        <w:t xml:space="preserve">you could use the Input data folder under main </w:t>
      </w:r>
      <w:r>
        <w:t xml:space="preserve">HRA </w:t>
      </w:r>
      <w:r w:rsidRPr="00D53BD5">
        <w:t xml:space="preserve">folder and create two new workspace folders, </w:t>
      </w:r>
      <w:r>
        <w:t xml:space="preserve">“runHRA500m” </w:t>
      </w:r>
      <w:r w:rsidRPr="00D53BD5">
        <w:t>and</w:t>
      </w:r>
      <w:r w:rsidRPr="00D510EA">
        <w:t xml:space="preserve"> </w:t>
      </w:r>
      <w:r>
        <w:t xml:space="preserve">“runHRA500m2” (“500” stands for the resolution of gridded seascape in meters).  </w:t>
      </w:r>
      <w:r w:rsidRPr="00D53BD5">
        <w:t xml:space="preserve">See below for an example of the folder setup. </w:t>
      </w:r>
    </w:p>
    <w:p w:rsidR="00FC6BFD" w:rsidRPr="00A262EE" w:rsidRDefault="00FC6BFD" w:rsidP="00FC6BFD"/>
    <w:p w:rsidR="00FC6BFD" w:rsidRDefault="00FC6BFD" w:rsidP="00FC6BFD">
      <w:pPr>
        <w:numPr>
          <w:ilvl w:val="0"/>
          <w:numId w:val="6"/>
        </w:numPr>
        <w:ind w:left="360"/>
      </w:pPr>
      <w:r w:rsidRPr="00A262EE">
        <w:rPr>
          <w:b/>
        </w:rPr>
        <w:t xml:space="preserve">Viewing </w:t>
      </w:r>
      <w:r>
        <w:rPr>
          <w:b/>
        </w:rPr>
        <w:t>output from the model</w:t>
      </w:r>
    </w:p>
    <w:p w:rsidR="00FC6BFD" w:rsidRPr="00A262EE" w:rsidRDefault="00FC6BFD" w:rsidP="00FC6BFD"/>
    <w:p w:rsidR="00FC6BFD" w:rsidRPr="00A262EE" w:rsidRDefault="00FC6BFD" w:rsidP="00FC6BFD">
      <w:r w:rsidRPr="00A262EE">
        <w:t>Upon successful completion of the model, you will see new folders in your Workspace called “</w:t>
      </w:r>
      <w:r w:rsidRPr="00A262EE">
        <w:rPr>
          <w:i/>
        </w:rPr>
        <w:t>intermediate</w:t>
      </w:r>
      <w:r w:rsidRPr="00A262EE">
        <w:t>” and “</w:t>
      </w:r>
      <w:r w:rsidRPr="00A262EE">
        <w:rPr>
          <w:i/>
        </w:rPr>
        <w:t>Output</w:t>
      </w:r>
      <w:r w:rsidRPr="00A262EE">
        <w:t xml:space="preserve">”. The Output folder, in particular, may contain several types of spatial data, which are described in the </w:t>
      </w:r>
      <w:r w:rsidRPr="00A262EE">
        <w:rPr>
          <w:b/>
        </w:rPr>
        <w:t>Interpreting Results</w:t>
      </w:r>
      <w:r w:rsidRPr="00A262EE">
        <w:t xml:space="preserve"> section.</w:t>
      </w:r>
    </w:p>
    <w:p w:rsidR="00FC6BFD" w:rsidRPr="00D53BD5" w:rsidRDefault="00FC6BFD" w:rsidP="00FC6BFD"/>
    <w:p w:rsidR="00FC6BFD" w:rsidRPr="00D53BD5" w:rsidRDefault="00FC6BFD" w:rsidP="00FC6BFD">
      <w:r>
        <w:rPr>
          <w:noProof/>
        </w:rPr>
        <w:drawing>
          <wp:inline distT="0" distB="0" distL="0" distR="0" wp14:anchorId="222C7DC4" wp14:editId="1FE19DB3">
            <wp:extent cx="5486400" cy="2117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Outputs.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2117725"/>
                    </a:xfrm>
                    <a:prstGeom prst="rect">
                      <a:avLst/>
                    </a:prstGeom>
                  </pic:spPr>
                </pic:pic>
              </a:graphicData>
            </a:graphic>
          </wp:inline>
        </w:drawing>
      </w:r>
    </w:p>
    <w:p w:rsidR="00FC6BFD" w:rsidRPr="00D53BD5" w:rsidRDefault="00FC6BFD" w:rsidP="00FC6BFD">
      <w:r w:rsidRPr="00D53BD5">
        <w:t xml:space="preserve">You can view the output spatial data in </w:t>
      </w:r>
      <w:proofErr w:type="spellStart"/>
      <w:r w:rsidRPr="00D53BD5">
        <w:t>ArcMap</w:t>
      </w:r>
      <w:proofErr w:type="spellEnd"/>
      <w:r w:rsidRPr="00D53BD5">
        <w:t xml:space="preserve"> using the Add Data button. </w:t>
      </w:r>
      <w:r w:rsidRPr="00D53BD5">
        <w:rPr>
          <w:noProof/>
        </w:rPr>
        <w:drawing>
          <wp:inline distT="0" distB="0" distL="0" distR="0" wp14:anchorId="2D6B992C" wp14:editId="13DFE8DB">
            <wp:extent cx="207010" cy="207010"/>
            <wp:effectExtent l="0" t="0" r="2540" b="254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p>
    <w:p w:rsidR="00FC6BFD" w:rsidRPr="00D53BD5" w:rsidRDefault="00FC6BFD" w:rsidP="00FC6BFD"/>
    <w:p w:rsidR="00FC6BFD" w:rsidRPr="00D53BD5" w:rsidRDefault="00FC6BFD" w:rsidP="00FC6BFD">
      <w:r w:rsidRPr="00D53BD5">
        <w:t xml:space="preserve">You can change the </w:t>
      </w:r>
      <w:proofErr w:type="spellStart"/>
      <w:r w:rsidRPr="00D53BD5">
        <w:t>symbology</w:t>
      </w:r>
      <w:proofErr w:type="spellEnd"/>
      <w:r w:rsidRPr="00D53BD5">
        <w:t xml:space="preserve"> of a layer by right-clicking on the layer name in the table of contents, selecting </w:t>
      </w:r>
      <w:r>
        <w:t>“</w:t>
      </w:r>
      <w:r w:rsidRPr="00D53BD5">
        <w:t>Properties</w:t>
      </w:r>
      <w:r>
        <w:t>”</w:t>
      </w:r>
      <w:r w:rsidRPr="00D53BD5">
        <w:t xml:space="preserve">, and then </w:t>
      </w:r>
      <w:r>
        <w:t>“</w:t>
      </w:r>
      <w:proofErr w:type="spellStart"/>
      <w:r w:rsidRPr="00D53BD5">
        <w:t>Symbology</w:t>
      </w:r>
      <w:proofErr w:type="spellEnd"/>
      <w:r>
        <w:t>”</w:t>
      </w:r>
      <w:r w:rsidRPr="00D53BD5">
        <w:t>.  There are many options here to change the way the data appear in the map.</w:t>
      </w:r>
    </w:p>
    <w:p w:rsidR="00FC6BFD" w:rsidRPr="00D53BD5" w:rsidRDefault="00FC6BFD" w:rsidP="00FC6BFD"/>
    <w:p w:rsidR="00FC6BFD" w:rsidRPr="00D53BD5" w:rsidRDefault="00FC6BFD" w:rsidP="00FC6BFD">
      <w:r w:rsidRPr="00D53BD5">
        <w:t xml:space="preserve">You can also view the attribute data of output files by right clicking on a layer and selecting </w:t>
      </w:r>
      <w:r>
        <w:t>“</w:t>
      </w:r>
      <w:r w:rsidRPr="00D53BD5">
        <w:t>Open Attribute Table</w:t>
      </w:r>
      <w:r>
        <w:t>”</w:t>
      </w:r>
      <w:r w:rsidRPr="00D53BD5">
        <w:t xml:space="preserve">. </w:t>
      </w:r>
    </w:p>
    <w:p w:rsidR="00FC6BFD" w:rsidRPr="005E727F" w:rsidRDefault="00FC6BFD" w:rsidP="00FC6BFD">
      <w:pPr>
        <w:pStyle w:val="Heading1"/>
        <w:rPr>
          <w:rFonts w:ascii="Times New Roman" w:hAnsi="Times New Roman" w:cs="Times New Roman"/>
          <w:i/>
          <w:color w:val="auto"/>
        </w:rPr>
      </w:pPr>
      <w:r w:rsidRPr="005E727F">
        <w:rPr>
          <w:rFonts w:ascii="Times New Roman" w:hAnsi="Times New Roman" w:cs="Times New Roman"/>
          <w:i/>
          <w:color w:val="auto"/>
        </w:rPr>
        <w:t>Interpreting Results</w:t>
      </w:r>
    </w:p>
    <w:p w:rsidR="00FC6BFD" w:rsidRPr="007475DE" w:rsidRDefault="00FC6BFD" w:rsidP="00FC6BFD">
      <w:pPr>
        <w:pStyle w:val="Heading2"/>
        <w:rPr>
          <w:rFonts w:ascii="Times New Roman" w:hAnsi="Times New Roman" w:cs="Times New Roman"/>
          <w:color w:val="auto"/>
        </w:rPr>
      </w:pPr>
      <w:r w:rsidRPr="007475DE">
        <w:rPr>
          <w:rFonts w:ascii="Times New Roman" w:hAnsi="Times New Roman" w:cs="Times New Roman"/>
          <w:color w:val="auto"/>
        </w:rPr>
        <w:t>Model Outputs</w:t>
      </w:r>
    </w:p>
    <w:p w:rsidR="00FC6BFD" w:rsidRPr="00D53BD5" w:rsidRDefault="00FC6BFD" w:rsidP="00FC6BFD">
      <w:pPr>
        <w:autoSpaceDE w:val="0"/>
        <w:autoSpaceDN w:val="0"/>
        <w:adjustRightInd w:val="0"/>
      </w:pPr>
      <w:r w:rsidRPr="00D53BD5">
        <w:t xml:space="preserve">The following is a short description of each of the outputs from the </w:t>
      </w:r>
      <w:r>
        <w:t xml:space="preserve">HRA </w:t>
      </w:r>
      <w:r w:rsidRPr="00D53BD5">
        <w:t>model.  Each of these output files is saved in the “Output” folder that is saved within the user-specified workspace directory:</w:t>
      </w:r>
    </w:p>
    <w:p w:rsidR="00FC6BFD" w:rsidRPr="00D53BD5" w:rsidRDefault="00FC6BFD" w:rsidP="00FC6BFD">
      <w:pPr>
        <w:autoSpaceDE w:val="0"/>
        <w:autoSpaceDN w:val="0"/>
        <w:adjustRightInd w:val="0"/>
        <w:rPr>
          <w:u w:val="single"/>
        </w:rPr>
      </w:pPr>
    </w:p>
    <w:p w:rsidR="00FC6BFD" w:rsidRPr="005E0FD9" w:rsidRDefault="00FC6BFD" w:rsidP="00FC6BFD">
      <w:pPr>
        <w:rPr>
          <w:b/>
          <w:u w:val="single"/>
        </w:rPr>
      </w:pPr>
      <w:r w:rsidRPr="005E0FD9">
        <w:rPr>
          <w:b/>
          <w:u w:val="single"/>
        </w:rPr>
        <w:t>“Output” Folder</w:t>
      </w:r>
    </w:p>
    <w:p w:rsidR="00FC6BFD" w:rsidRPr="005E0FD9" w:rsidRDefault="00FC6BFD" w:rsidP="00FC6BFD">
      <w:pPr>
        <w:rPr>
          <w:b/>
          <w:u w:val="single"/>
        </w:rPr>
      </w:pPr>
    </w:p>
    <w:p w:rsidR="00FC6BFD" w:rsidRPr="005E0FD9" w:rsidRDefault="00FC6BFD" w:rsidP="00FC6BFD">
      <w:r>
        <w:rPr>
          <w:b/>
        </w:rPr>
        <w:tab/>
        <w:t>GIS</w:t>
      </w:r>
    </w:p>
    <w:p w:rsidR="00FC6BFD" w:rsidRPr="005E0FD9" w:rsidRDefault="00FC6BFD" w:rsidP="00FC6BFD">
      <w:pPr>
        <w:numPr>
          <w:ilvl w:val="0"/>
          <w:numId w:val="4"/>
        </w:numPr>
        <w:autoSpaceDE w:val="0"/>
        <w:autoSpaceDN w:val="0"/>
        <w:adjustRightInd w:val="0"/>
        <w:rPr>
          <w:b/>
        </w:rPr>
      </w:pPr>
      <w:r>
        <w:t>Output\ maps\</w:t>
      </w:r>
      <w:proofErr w:type="spellStart"/>
      <w:r>
        <w:t>predom_hab</w:t>
      </w:r>
      <w:proofErr w:type="spellEnd"/>
    </w:p>
    <w:p w:rsidR="00FC6BFD" w:rsidRPr="005E0FD9" w:rsidRDefault="00FC6BFD" w:rsidP="00FC6BFD">
      <w:pPr>
        <w:numPr>
          <w:ilvl w:val="1"/>
          <w:numId w:val="2"/>
        </w:numPr>
        <w:autoSpaceDE w:val="0"/>
        <w:autoSpaceDN w:val="0"/>
        <w:adjustRightInd w:val="0"/>
      </w:pPr>
      <w:r w:rsidRPr="00F62402">
        <w:t>This raster layer de</w:t>
      </w:r>
      <w:r>
        <w:t>picts the predominant habitat (e.g</w:t>
      </w:r>
      <w:r w:rsidRPr="00F62402">
        <w:t>. the habitat that covers the most area) in each grid cell.</w:t>
      </w:r>
      <w:r>
        <w:t xml:space="preserve">  If two layers tie for most overlap area, the spatial layer with the lower ID number will</w:t>
      </w:r>
      <w:r w:rsidRPr="00F62402">
        <w:t xml:space="preserve"> </w:t>
      </w:r>
      <w:r>
        <w:t>be chosen.</w:t>
      </w:r>
    </w:p>
    <w:p w:rsidR="00FC6BFD" w:rsidRPr="005E0FD9" w:rsidRDefault="00FC6BFD" w:rsidP="00FC6BFD">
      <w:pPr>
        <w:numPr>
          <w:ilvl w:val="0"/>
          <w:numId w:val="4"/>
        </w:numPr>
        <w:autoSpaceDE w:val="0"/>
        <w:autoSpaceDN w:val="0"/>
        <w:adjustRightInd w:val="0"/>
        <w:rPr>
          <w:b/>
        </w:rPr>
      </w:pPr>
      <w:r w:rsidRPr="005E0FD9">
        <w:t>Output\</w:t>
      </w:r>
      <w:r>
        <w:t xml:space="preserve"> maps\</w:t>
      </w:r>
      <w:proofErr w:type="spellStart"/>
      <w:r>
        <w:rPr>
          <w:rFonts w:eastAsia="Calibri"/>
        </w:rPr>
        <w:t>recov_potent</w:t>
      </w:r>
      <w:proofErr w:type="spellEnd"/>
    </w:p>
    <w:p w:rsidR="00FC6BFD" w:rsidRPr="005E0FD9" w:rsidRDefault="00FC6BFD" w:rsidP="00FC6BFD">
      <w:pPr>
        <w:autoSpaceDE w:val="0"/>
        <w:autoSpaceDN w:val="0"/>
        <w:adjustRightInd w:val="0"/>
        <w:ind w:left="1440"/>
      </w:pPr>
      <w:r w:rsidRPr="00F62402">
        <w:t>This raster layer depicts the recovery potential of the predominant habitat in each cell. Recovery potential is based on natural mortality rate, recruitment rate, age at maturity/recovery time and connectivity. Recovery potential is useful to</w:t>
      </w:r>
      <w:r>
        <w:t xml:space="preserve"> those</w:t>
      </w:r>
      <w:r w:rsidRPr="00F62402">
        <w:t xml:space="preserve"> who are interested in identifying areas </w:t>
      </w:r>
      <w:r>
        <w:t>where habitats are</w:t>
      </w:r>
      <w:r w:rsidRPr="00F62402">
        <w:t xml:space="preserve"> more resilient to human stressors, and therefore may be able to withstand increasing stress. Habitats with low recovery potential are particularly vulnerable to intensifying human activities. </w:t>
      </w:r>
    </w:p>
    <w:p w:rsidR="00FC6BFD" w:rsidRPr="005E0FD9" w:rsidRDefault="00FC6BFD" w:rsidP="00FC6BFD">
      <w:pPr>
        <w:numPr>
          <w:ilvl w:val="0"/>
          <w:numId w:val="4"/>
        </w:numPr>
        <w:autoSpaceDE w:val="0"/>
        <w:autoSpaceDN w:val="0"/>
        <w:adjustRightInd w:val="0"/>
        <w:rPr>
          <w:b/>
        </w:rPr>
      </w:pPr>
      <w:r>
        <w:t>Output\ maps\</w:t>
      </w:r>
      <w:proofErr w:type="spellStart"/>
      <w:r w:rsidRPr="005E727F">
        <w:rPr>
          <w:rFonts w:eastAsia="Calibri"/>
        </w:rPr>
        <w:t>ecosys_risk</w:t>
      </w:r>
      <w:proofErr w:type="spellEnd"/>
    </w:p>
    <w:p w:rsidR="00FC6BFD" w:rsidRDefault="00FC6BFD" w:rsidP="00FC6BFD">
      <w:pPr>
        <w:numPr>
          <w:ilvl w:val="1"/>
          <w:numId w:val="2"/>
        </w:numPr>
        <w:autoSpaceDE w:val="0"/>
        <w:autoSpaceDN w:val="0"/>
        <w:adjustRightInd w:val="0"/>
      </w:pPr>
      <w:r>
        <w:t xml:space="preserve">This raster layer depicts </w:t>
      </w:r>
      <w:r w:rsidRPr="005E727F">
        <w:t xml:space="preserve">the sum of all cumulative risk scores for all habitats in each grid cell. It is best interpreted as an integrative index of risk across all habitats in a grid cell. For example, in a </w:t>
      </w:r>
      <w:proofErr w:type="spellStart"/>
      <w:r w:rsidRPr="005E727F">
        <w:t>nearshore</w:t>
      </w:r>
      <w:proofErr w:type="spellEnd"/>
      <w:r w:rsidRPr="005E727F">
        <w:t xml:space="preserve"> grid cell that contains some coral reef, </w:t>
      </w:r>
      <w:r>
        <w:t xml:space="preserve">mangrove and </w:t>
      </w:r>
      <w:r w:rsidRPr="005E727F">
        <w:t xml:space="preserve">soft bottom habitat, the </w:t>
      </w:r>
      <w:proofErr w:type="spellStart"/>
      <w:r w:rsidRPr="005E727F">
        <w:t>ecosys_risk</w:t>
      </w:r>
      <w:proofErr w:type="spellEnd"/>
      <w:r w:rsidRPr="005E727F">
        <w:t xml:space="preserve"> value reflects the r</w:t>
      </w:r>
      <w:r>
        <w:t>isk to all three habitats in the</w:t>
      </w:r>
      <w:r w:rsidRPr="005E727F">
        <w:t xml:space="preserve"> cell. The </w:t>
      </w:r>
      <w:proofErr w:type="spellStart"/>
      <w:r w:rsidRPr="005E727F">
        <w:t>ecosys_risk</w:t>
      </w:r>
      <w:proofErr w:type="spellEnd"/>
      <w:r w:rsidRPr="005E727F">
        <w:t xml:space="preserve"> value increases as the number of habitats in a cell e</w:t>
      </w:r>
      <w:r>
        <w:t>xposed to stressors increases.</w:t>
      </w:r>
    </w:p>
    <w:p w:rsidR="00FC6BFD" w:rsidRPr="005E0FD9" w:rsidRDefault="00FC6BFD" w:rsidP="00FC6BFD">
      <w:pPr>
        <w:numPr>
          <w:ilvl w:val="0"/>
          <w:numId w:val="4"/>
        </w:numPr>
        <w:autoSpaceDE w:val="0"/>
        <w:autoSpaceDN w:val="0"/>
        <w:adjustRightInd w:val="0"/>
        <w:rPr>
          <w:b/>
        </w:rPr>
      </w:pPr>
      <w:r>
        <w:t>Output\ maps\</w:t>
      </w:r>
      <w:proofErr w:type="spellStart"/>
      <w:r w:rsidRPr="00F62402">
        <w:t>cum_</w:t>
      </w:r>
      <w:r w:rsidRPr="005E0FD9">
        <w:rPr>
          <w:rFonts w:eastAsia="Calibri"/>
        </w:rPr>
        <w:t>risk_</w:t>
      </w:r>
      <w:r w:rsidRPr="00F62402">
        <w:rPr>
          <w:rFonts w:eastAsia="Calibri"/>
        </w:rPr>
        <w:t>H</w:t>
      </w:r>
      <w:proofErr w:type="spellEnd"/>
      <w:r>
        <w:rPr>
          <w:rFonts w:eastAsia="Calibri"/>
        </w:rPr>
        <w:t>[</w:t>
      </w:r>
      <w:r w:rsidRPr="00F62402">
        <w:rPr>
          <w:rFonts w:eastAsia="Calibri"/>
        </w:rPr>
        <w:t>habitat</w:t>
      </w:r>
      <w:r>
        <w:rPr>
          <w:rFonts w:eastAsia="Calibri"/>
        </w:rPr>
        <w:t xml:space="preserve"> number] (e.g. </w:t>
      </w:r>
      <w:r w:rsidRPr="00F62402">
        <w:rPr>
          <w:rFonts w:eastAsia="Calibri"/>
        </w:rPr>
        <w:t>cum_risk_H2</w:t>
      </w:r>
      <w:r w:rsidRPr="005E0FD9">
        <w:rPr>
          <w:rFonts w:eastAsia="Calibri"/>
        </w:rPr>
        <w:t>)</w:t>
      </w:r>
    </w:p>
    <w:p w:rsidR="00FC6BFD" w:rsidRDefault="00FC6BFD" w:rsidP="00FC6BFD">
      <w:pPr>
        <w:numPr>
          <w:ilvl w:val="1"/>
          <w:numId w:val="2"/>
        </w:numPr>
        <w:autoSpaceDE w:val="0"/>
        <w:autoSpaceDN w:val="0"/>
        <w:adjustRightInd w:val="0"/>
      </w:pPr>
      <w:r>
        <w:t xml:space="preserve">This raster layer </w:t>
      </w:r>
      <w:r w:rsidRPr="00F62402">
        <w:t>depicts the cumulative risk for all the stressors in a grid cell on a habitat-by-habitat basis. For example, “</w:t>
      </w:r>
      <w:r w:rsidRPr="00F62402">
        <w:rPr>
          <w:rFonts w:eastAsia="Calibri"/>
        </w:rPr>
        <w:t>cum_risk_H2” depicts the risk from all stressors on habitat “H2”. Cumulative risk is derived by summing the risk scores from each stressor (i.e. more stressors leads to higher cumulative risk).</w:t>
      </w:r>
      <w:r>
        <w:rPr>
          <w:rFonts w:eastAsia="Calibri"/>
        </w:rPr>
        <w:t xml:space="preserve"> </w:t>
      </w:r>
      <w:r w:rsidRPr="00F62402">
        <w:rPr>
          <w:rFonts w:eastAsia="Calibri"/>
        </w:rPr>
        <w:t xml:space="preserve">This layer is informative for users who want to know how cumulative risk for a given habitat varies across a study region (e.g. identify hotspots where eelgrass or kelp is at high risk from multiple stressors). Hotspots of high cumulative risk may be targeted for restoration or monitoring. </w:t>
      </w:r>
    </w:p>
    <w:p w:rsidR="00FC6BFD" w:rsidRPr="005E0FD9" w:rsidRDefault="00FC6BFD" w:rsidP="00FC6BFD">
      <w:pPr>
        <w:autoSpaceDE w:val="0"/>
        <w:autoSpaceDN w:val="0"/>
        <w:adjustRightInd w:val="0"/>
        <w:ind w:left="1440"/>
      </w:pPr>
    </w:p>
    <w:p w:rsidR="00FC6BFD" w:rsidRPr="005E0FD9" w:rsidRDefault="00FC6BFD" w:rsidP="00FC6BFD">
      <w:pPr>
        <w:autoSpaceDE w:val="0"/>
        <w:autoSpaceDN w:val="0"/>
        <w:adjustRightInd w:val="0"/>
        <w:ind w:left="720"/>
        <w:rPr>
          <w:b/>
        </w:rPr>
      </w:pPr>
      <w:r>
        <w:rPr>
          <w:b/>
        </w:rPr>
        <w:t>HTML and Plots</w:t>
      </w:r>
    </w:p>
    <w:p w:rsidR="00FC6BFD" w:rsidRPr="00932554" w:rsidRDefault="00FC6BFD" w:rsidP="00FC6BFD">
      <w:pPr>
        <w:numPr>
          <w:ilvl w:val="0"/>
          <w:numId w:val="4"/>
        </w:numPr>
        <w:autoSpaceDE w:val="0"/>
        <w:autoSpaceDN w:val="0"/>
        <w:adjustRightInd w:val="0"/>
        <w:rPr>
          <w:b/>
        </w:rPr>
      </w:pPr>
      <w:r>
        <w:t>Output\</w:t>
      </w:r>
      <w:proofErr w:type="spellStart"/>
      <w:r>
        <w:t>html_plots</w:t>
      </w:r>
      <w:proofErr w:type="spellEnd"/>
      <w:r>
        <w:t>\output.ht</w:t>
      </w:r>
      <w:r w:rsidRPr="00F62402">
        <w:t>ml</w:t>
      </w:r>
    </w:p>
    <w:p w:rsidR="00FC6BFD" w:rsidRPr="00932554" w:rsidRDefault="00FC6BFD" w:rsidP="00FC6BFD">
      <w:pPr>
        <w:numPr>
          <w:ilvl w:val="1"/>
          <w:numId w:val="4"/>
        </w:numPr>
        <w:autoSpaceDE w:val="0"/>
        <w:autoSpaceDN w:val="0"/>
        <w:adjustRightInd w:val="0"/>
        <w:ind w:left="1440"/>
        <w:rPr>
          <w:b/>
        </w:rPr>
      </w:pPr>
      <w:r w:rsidRPr="00F62402">
        <w:t xml:space="preserve">This </w:t>
      </w:r>
      <w:r>
        <w:t xml:space="preserve">custom </w:t>
      </w:r>
      <w:r w:rsidRPr="00F62402">
        <w:t>html file</w:t>
      </w:r>
      <w:r>
        <w:t xml:space="preserve"> for each model run</w:t>
      </w:r>
      <w:r w:rsidRPr="00F62402">
        <w:t xml:space="preserve"> contains figures that display cumulative ecosystem risk (i.e. risk to all the habitats in the study region) and risk of each stressor to each habitat individually. The figures in this </w:t>
      </w:r>
      <w:r>
        <w:t>output</w:t>
      </w:r>
      <w:r w:rsidRPr="00F62402">
        <w:t xml:space="preserve"> will help users visualize the uncertainty associated with various aspects of the risk assessment, as the model results are color-coded according to the quality of data involved in the scoring process. Pleas</w:t>
      </w:r>
      <w:r>
        <w:t>e</w:t>
      </w:r>
      <w:r w:rsidRPr="00F62402">
        <w:t xml:space="preserve"> see the explanations in the html file for more information.</w:t>
      </w:r>
    </w:p>
    <w:p w:rsidR="00FC6BFD" w:rsidRDefault="00FC6BFD" w:rsidP="00FC6BFD">
      <w:pPr>
        <w:autoSpaceDE w:val="0"/>
        <w:autoSpaceDN w:val="0"/>
        <w:adjustRightInd w:val="0"/>
        <w:ind w:left="1440"/>
      </w:pPr>
    </w:p>
    <w:p w:rsidR="006D4EE4" w:rsidRPr="005E0FD9" w:rsidRDefault="006D4EE4" w:rsidP="00FC6BFD">
      <w:pPr>
        <w:autoSpaceDE w:val="0"/>
        <w:autoSpaceDN w:val="0"/>
        <w:adjustRightInd w:val="0"/>
        <w:ind w:left="1440"/>
      </w:pPr>
    </w:p>
    <w:p w:rsidR="00FC6BFD" w:rsidRPr="005E0FD9" w:rsidRDefault="00FC6BFD" w:rsidP="00FC6BFD">
      <w:pPr>
        <w:numPr>
          <w:ilvl w:val="0"/>
          <w:numId w:val="4"/>
        </w:numPr>
        <w:autoSpaceDE w:val="0"/>
        <w:autoSpaceDN w:val="0"/>
        <w:adjustRightInd w:val="0"/>
        <w:rPr>
          <w:b/>
        </w:rPr>
      </w:pPr>
      <w:r>
        <w:lastRenderedPageBreak/>
        <w:t>Output\</w:t>
      </w:r>
      <w:proofErr w:type="spellStart"/>
      <w:r>
        <w:t>html_plots</w:t>
      </w:r>
      <w:proofErr w:type="spellEnd"/>
      <w:r>
        <w:t>\ plot_</w:t>
      </w:r>
      <w:r w:rsidRPr="00F62402">
        <w:t>ecosys_risk</w:t>
      </w:r>
      <w:r>
        <w:t>.png</w:t>
      </w:r>
    </w:p>
    <w:p w:rsidR="00FC6BFD" w:rsidRPr="00793BD4" w:rsidRDefault="00FC6BFD" w:rsidP="00FC6BFD">
      <w:pPr>
        <w:numPr>
          <w:ilvl w:val="1"/>
          <w:numId w:val="4"/>
        </w:numPr>
        <w:autoSpaceDE w:val="0"/>
        <w:autoSpaceDN w:val="0"/>
        <w:adjustRightInd w:val="0"/>
        <w:ind w:left="1440"/>
        <w:rPr>
          <w:b/>
        </w:rPr>
      </w:pPr>
      <w:r>
        <w:t xml:space="preserve">This figure shows the cumulative risk for each habitat in the study region. This figure can be used to determine which habitats are at highest risk from human activities, and if this risk is mostly due to high cumulative exposure (exogenous factors that can be mitigated by management) or high cumulative consequence (endogenous factors that are less responsive to human intervention).  </w:t>
      </w:r>
    </w:p>
    <w:p w:rsidR="00FC6BFD" w:rsidRPr="005E0FD9" w:rsidRDefault="00FC6BFD" w:rsidP="00FC6BFD">
      <w:pPr>
        <w:autoSpaceDE w:val="0"/>
        <w:autoSpaceDN w:val="0"/>
        <w:adjustRightInd w:val="0"/>
      </w:pPr>
    </w:p>
    <w:p w:rsidR="00FC6BFD" w:rsidRPr="005E0FD9" w:rsidRDefault="00FC6BFD" w:rsidP="00FC6BFD">
      <w:pPr>
        <w:numPr>
          <w:ilvl w:val="0"/>
          <w:numId w:val="4"/>
        </w:numPr>
        <w:autoSpaceDE w:val="0"/>
        <w:autoSpaceDN w:val="0"/>
        <w:adjustRightInd w:val="0"/>
        <w:rPr>
          <w:b/>
        </w:rPr>
      </w:pPr>
      <w:r>
        <w:t>Output\</w:t>
      </w:r>
      <w:proofErr w:type="spellStart"/>
      <w:r>
        <w:t>html_plots</w:t>
      </w:r>
      <w:proofErr w:type="spellEnd"/>
      <w:r>
        <w:t>\ plots_risk.png</w:t>
      </w:r>
    </w:p>
    <w:p w:rsidR="00FC6BFD" w:rsidRPr="00932554" w:rsidRDefault="00FC6BFD" w:rsidP="00FC6BFD">
      <w:pPr>
        <w:pStyle w:val="ListParagraph"/>
        <w:numPr>
          <w:ilvl w:val="1"/>
          <w:numId w:val="4"/>
        </w:numPr>
        <w:ind w:left="1440"/>
      </w:pPr>
      <w:r w:rsidRPr="005E727F">
        <w:rPr>
          <w:rFonts w:ascii="Times New Roman" w:hAnsi="Times New Roman"/>
        </w:rPr>
        <w:t xml:space="preserve">These figures show the exposure and consequence scores for each stressor and habitat combination in the study region. Stressors that have high exposure scores and high consequence scores pose the greatest risk to habitats. Reducing risk through management is likely to be more effective in situations where high risk is driven by high exposure, not high consequence. </w:t>
      </w:r>
    </w:p>
    <w:p w:rsidR="00FC6BFD" w:rsidRPr="00932554" w:rsidRDefault="00FC6BFD" w:rsidP="00FC6BFD">
      <w:pPr>
        <w:autoSpaceDE w:val="0"/>
        <w:autoSpaceDN w:val="0"/>
        <w:adjustRightInd w:val="0"/>
        <w:ind w:left="720"/>
        <w:rPr>
          <w:b/>
        </w:rPr>
      </w:pPr>
      <w:r w:rsidRPr="00932554">
        <w:rPr>
          <w:b/>
        </w:rPr>
        <w:t>Log File</w:t>
      </w:r>
    </w:p>
    <w:p w:rsidR="00FC6BFD" w:rsidRPr="00932554" w:rsidRDefault="00FC6BFD" w:rsidP="00FC6BFD">
      <w:pPr>
        <w:numPr>
          <w:ilvl w:val="0"/>
          <w:numId w:val="4"/>
        </w:numPr>
        <w:autoSpaceDE w:val="0"/>
        <w:autoSpaceDN w:val="0"/>
        <w:adjustRightInd w:val="0"/>
      </w:pPr>
      <w:r w:rsidRPr="00932554">
        <w:t>Parameters_[yr-mon-day-min-sec].txt</w:t>
      </w:r>
    </w:p>
    <w:p w:rsidR="00FC6BFD" w:rsidRPr="00932554" w:rsidRDefault="00FC6BFD" w:rsidP="00FC6BFD">
      <w:pPr>
        <w:numPr>
          <w:ilvl w:val="1"/>
          <w:numId w:val="5"/>
        </w:numPr>
        <w:autoSpaceDE w:val="0"/>
        <w:autoSpaceDN w:val="0"/>
        <w:adjustRightInd w:val="0"/>
      </w:pPr>
      <w:r w:rsidRPr="00932554">
        <w:t>Each time the model is run a text file will appear in the workspace folder.  The file will list the parameter values for that run and be named according to the date and time.</w:t>
      </w:r>
    </w:p>
    <w:p w:rsidR="00FC6BFD" w:rsidRPr="00793D1A" w:rsidRDefault="00FC6BFD" w:rsidP="00FC6BFD">
      <w:pPr>
        <w:numPr>
          <w:ilvl w:val="1"/>
          <w:numId w:val="5"/>
        </w:numPr>
        <w:autoSpaceDE w:val="0"/>
        <w:autoSpaceDN w:val="0"/>
        <w:adjustRightInd w:val="0"/>
      </w:pPr>
      <w:r w:rsidRPr="00932554">
        <w:t xml:space="preserve">Parameter log information can be used to identify detailed configurations </w:t>
      </w:r>
      <w:r w:rsidRPr="00793D1A">
        <w:t>of each of scenario simulation.</w:t>
      </w:r>
    </w:p>
    <w:p w:rsidR="00FC6BFD" w:rsidRDefault="00FC6BFD" w:rsidP="00FC6BFD">
      <w:pPr>
        <w:autoSpaceDE w:val="0"/>
        <w:autoSpaceDN w:val="0"/>
        <w:adjustRightInd w:val="0"/>
      </w:pPr>
    </w:p>
    <w:p w:rsidR="00FC6BFD" w:rsidRDefault="00FC6BFD" w:rsidP="00FC6BFD">
      <w:pPr>
        <w:autoSpaceDE w:val="0"/>
        <w:autoSpaceDN w:val="0"/>
        <w:adjustRightInd w:val="0"/>
      </w:pPr>
    </w:p>
    <w:p w:rsidR="00FC6BFD" w:rsidRDefault="00FC6BFD" w:rsidP="00FC6BFD">
      <w:pPr>
        <w:autoSpaceDE w:val="0"/>
        <w:autoSpaceDN w:val="0"/>
        <w:adjustRightInd w:val="0"/>
      </w:pPr>
      <w:r>
        <w:rPr>
          <w:noProof/>
        </w:rPr>
        <w:lastRenderedPageBreak/>
        <w:drawing>
          <wp:inline distT="0" distB="0" distL="0" distR="0">
            <wp:extent cx="5177399"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Map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79922" cy="4002450"/>
                    </a:xfrm>
                    <a:prstGeom prst="rect">
                      <a:avLst/>
                    </a:prstGeom>
                  </pic:spPr>
                </pic:pic>
              </a:graphicData>
            </a:graphic>
          </wp:inline>
        </w:drawing>
      </w:r>
    </w:p>
    <w:p w:rsidR="00FC6BFD" w:rsidRDefault="00FC6BFD" w:rsidP="00FC6BFD">
      <w:pPr>
        <w:autoSpaceDE w:val="0"/>
        <w:autoSpaceDN w:val="0"/>
        <w:adjustRightInd w:val="0"/>
      </w:pPr>
    </w:p>
    <w:p w:rsidR="00FC6BFD" w:rsidRPr="00793D1A" w:rsidRDefault="00FC6BFD" w:rsidP="00FC6BFD">
      <w:pPr>
        <w:autoSpaceDE w:val="0"/>
        <w:autoSpaceDN w:val="0"/>
        <w:adjustRightInd w:val="0"/>
      </w:pPr>
      <w:r>
        <w:rPr>
          <w:noProof/>
        </w:rPr>
        <w:drawing>
          <wp:inline distT="0" distB="0" distL="0" distR="0">
            <wp:extent cx="5162550" cy="3989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M_Map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63301" cy="3989605"/>
                    </a:xfrm>
                    <a:prstGeom prst="rect">
                      <a:avLst/>
                    </a:prstGeom>
                  </pic:spPr>
                </pic:pic>
              </a:graphicData>
            </a:graphic>
          </wp:inline>
        </w:drawing>
      </w:r>
    </w:p>
    <w:p w:rsidR="00FC6BFD" w:rsidRDefault="00FC6BFD" w:rsidP="00FC6BFD">
      <w:pPr>
        <w:autoSpaceDE w:val="0"/>
        <w:autoSpaceDN w:val="0"/>
        <w:adjustRightInd w:val="0"/>
        <w:rPr>
          <w:b/>
          <w:u w:val="single"/>
        </w:rPr>
      </w:pPr>
    </w:p>
    <w:p w:rsidR="00FC6BFD" w:rsidRPr="00793D1A" w:rsidRDefault="00FC6BFD" w:rsidP="00FC6BFD">
      <w:pPr>
        <w:autoSpaceDE w:val="0"/>
        <w:autoSpaceDN w:val="0"/>
        <w:adjustRightInd w:val="0"/>
        <w:rPr>
          <w:b/>
          <w:u w:val="single"/>
        </w:rPr>
      </w:pPr>
      <w:r w:rsidRPr="00793D1A">
        <w:rPr>
          <w:b/>
          <w:u w:val="single"/>
        </w:rPr>
        <w:t>“Intermediate” Folder</w:t>
      </w:r>
    </w:p>
    <w:p w:rsidR="00FC6BFD" w:rsidRPr="00793D1A" w:rsidRDefault="00FC6BFD" w:rsidP="00FC6BFD">
      <w:pPr>
        <w:numPr>
          <w:ilvl w:val="0"/>
          <w:numId w:val="4"/>
        </w:numPr>
        <w:autoSpaceDE w:val="0"/>
        <w:autoSpaceDN w:val="0"/>
        <w:adjustRightInd w:val="0"/>
        <w:rPr>
          <w:b/>
        </w:rPr>
      </w:pPr>
      <w:r w:rsidRPr="00793D1A">
        <w:t>intermediate\[first 8 characters of input layer name]_</w:t>
      </w:r>
      <w:proofErr w:type="spellStart"/>
      <w:r w:rsidRPr="00793D1A">
        <w:t>buff.shp</w:t>
      </w:r>
      <w:proofErr w:type="spellEnd"/>
    </w:p>
    <w:p w:rsidR="00FC6BFD" w:rsidRPr="00793D1A" w:rsidRDefault="00FC6BFD" w:rsidP="00FC6BFD">
      <w:pPr>
        <w:numPr>
          <w:ilvl w:val="1"/>
          <w:numId w:val="2"/>
        </w:numPr>
        <w:autoSpaceDE w:val="0"/>
        <w:autoSpaceDN w:val="0"/>
        <w:adjustRightInd w:val="0"/>
        <w:rPr>
          <w:b/>
        </w:rPr>
      </w:pPr>
      <w:r w:rsidRPr="00793D1A">
        <w:t>For all layers where a buffer distance is specified in the “Habitat-Stressor Ratings Table” (input #5), there will be a vector layer with the buffer applied.</w:t>
      </w:r>
    </w:p>
    <w:p w:rsidR="00FC6BFD" w:rsidRPr="00793D1A" w:rsidRDefault="00FC6BFD" w:rsidP="00FC6BFD">
      <w:pPr>
        <w:numPr>
          <w:ilvl w:val="0"/>
          <w:numId w:val="4"/>
        </w:numPr>
        <w:autoSpaceDE w:val="0"/>
        <w:autoSpaceDN w:val="0"/>
        <w:adjustRightInd w:val="0"/>
        <w:rPr>
          <w:b/>
        </w:rPr>
      </w:pPr>
      <w:r w:rsidRPr="00793D1A">
        <w:t>intermediate\</w:t>
      </w:r>
      <w:proofErr w:type="spellStart"/>
      <w:r w:rsidRPr="00793D1A">
        <w:t>hab</w:t>
      </w:r>
      <w:proofErr w:type="spellEnd"/>
      <w:r w:rsidRPr="00793D1A">
        <w:t>_[ID]</w:t>
      </w:r>
    </w:p>
    <w:p w:rsidR="00FC6BFD" w:rsidRPr="00793D1A" w:rsidRDefault="00FC6BFD" w:rsidP="00FC6BFD">
      <w:pPr>
        <w:numPr>
          <w:ilvl w:val="1"/>
          <w:numId w:val="2"/>
        </w:numPr>
        <w:autoSpaceDE w:val="0"/>
        <w:autoSpaceDN w:val="0"/>
        <w:adjustRightInd w:val="0"/>
      </w:pPr>
      <w:r w:rsidRPr="00793D1A">
        <w:t>These files are the rasterized copies of habitat inputs at 50m resolution.</w:t>
      </w:r>
    </w:p>
    <w:p w:rsidR="00FC6BFD" w:rsidRPr="00793D1A" w:rsidRDefault="00FC6BFD" w:rsidP="00FC6BFD">
      <w:pPr>
        <w:numPr>
          <w:ilvl w:val="0"/>
          <w:numId w:val="4"/>
        </w:numPr>
        <w:autoSpaceDE w:val="0"/>
        <w:autoSpaceDN w:val="0"/>
        <w:adjustRightInd w:val="0"/>
        <w:rPr>
          <w:b/>
        </w:rPr>
      </w:pPr>
      <w:r w:rsidRPr="00793D1A">
        <w:t>intermediate\stress_[ID]</w:t>
      </w:r>
    </w:p>
    <w:p w:rsidR="00FC6BFD" w:rsidRPr="00793D1A" w:rsidRDefault="00FC6BFD" w:rsidP="00FC6BFD">
      <w:pPr>
        <w:numPr>
          <w:ilvl w:val="1"/>
          <w:numId w:val="2"/>
        </w:numPr>
        <w:autoSpaceDE w:val="0"/>
        <w:autoSpaceDN w:val="0"/>
        <w:adjustRightInd w:val="0"/>
      </w:pPr>
      <w:r w:rsidRPr="00793D1A">
        <w:t>After all the specified stressor layers have been buffered, these files are the rasterized copies at 50m resolution.</w:t>
      </w:r>
    </w:p>
    <w:p w:rsidR="00FC6BFD" w:rsidRPr="00793D1A" w:rsidRDefault="00FC6BFD" w:rsidP="00FC6BFD">
      <w:pPr>
        <w:numPr>
          <w:ilvl w:val="0"/>
          <w:numId w:val="4"/>
        </w:numPr>
        <w:autoSpaceDE w:val="0"/>
        <w:autoSpaceDN w:val="0"/>
        <w:adjustRightInd w:val="0"/>
        <w:rPr>
          <w:b/>
        </w:rPr>
      </w:pPr>
      <w:r w:rsidRPr="00793D1A">
        <w:t>intermediate\</w:t>
      </w:r>
      <w:proofErr w:type="spellStart"/>
      <w:r w:rsidRPr="00793D1A">
        <w:t>zs_H</w:t>
      </w:r>
      <w:proofErr w:type="spellEnd"/>
      <w:r w:rsidRPr="00793D1A">
        <w:t>[ID].dbf</w:t>
      </w:r>
    </w:p>
    <w:p w:rsidR="00FC6BFD" w:rsidRPr="00793D1A" w:rsidRDefault="00FC6BFD" w:rsidP="00FC6BFD">
      <w:pPr>
        <w:numPr>
          <w:ilvl w:val="1"/>
          <w:numId w:val="2"/>
        </w:numPr>
        <w:autoSpaceDE w:val="0"/>
        <w:autoSpaceDN w:val="0"/>
        <w:adjustRightInd w:val="0"/>
      </w:pPr>
      <w:r w:rsidRPr="00793D1A">
        <w:t>These .dbf tables provide zonal statistics for grid cell values where a particular habitat overlaps the gridded seascape.</w:t>
      </w:r>
    </w:p>
    <w:p w:rsidR="00FC6BFD" w:rsidRPr="00793D1A" w:rsidRDefault="00FC6BFD" w:rsidP="00FC6BFD">
      <w:pPr>
        <w:numPr>
          <w:ilvl w:val="0"/>
          <w:numId w:val="4"/>
        </w:numPr>
        <w:autoSpaceDE w:val="0"/>
        <w:autoSpaceDN w:val="0"/>
        <w:adjustRightInd w:val="0"/>
        <w:rPr>
          <w:b/>
        </w:rPr>
      </w:pPr>
      <w:r w:rsidRPr="00793D1A">
        <w:t>intermediate\</w:t>
      </w:r>
      <w:proofErr w:type="spellStart"/>
      <w:r w:rsidRPr="00793D1A">
        <w:t>zs_H</w:t>
      </w:r>
      <w:proofErr w:type="spellEnd"/>
      <w:r w:rsidRPr="00793D1A">
        <w:t>[ID]S[ID].dbf</w:t>
      </w:r>
    </w:p>
    <w:p w:rsidR="00FC6BFD" w:rsidRPr="00793D1A" w:rsidRDefault="00FC6BFD" w:rsidP="00FC6BFD">
      <w:pPr>
        <w:numPr>
          <w:ilvl w:val="1"/>
          <w:numId w:val="2"/>
        </w:numPr>
        <w:autoSpaceDE w:val="0"/>
        <w:autoSpaceDN w:val="0"/>
        <w:adjustRightInd w:val="0"/>
      </w:pPr>
      <w:r w:rsidRPr="00793D1A">
        <w:t>These .dbf tables provide zonal statistics for grid cell values where a particular habitat and stressor overlap the gridded seascape.  Some combinations may be missing indicating relationships where no habitat-stressor overlap occurs.</w:t>
      </w:r>
    </w:p>
    <w:p w:rsidR="00FC6BFD" w:rsidRPr="005F2448" w:rsidRDefault="00FC6BFD" w:rsidP="00FC6BFD">
      <w:pPr>
        <w:numPr>
          <w:ilvl w:val="0"/>
          <w:numId w:val="4"/>
        </w:numPr>
        <w:autoSpaceDE w:val="0"/>
        <w:autoSpaceDN w:val="0"/>
        <w:adjustRightInd w:val="0"/>
        <w:rPr>
          <w:b/>
        </w:rPr>
      </w:pPr>
      <w:r w:rsidRPr="005F2448">
        <w:t>intermediate\</w:t>
      </w:r>
      <w:proofErr w:type="spellStart"/>
      <w:r w:rsidRPr="005F2448">
        <w:rPr>
          <w:rFonts w:eastAsia="Calibri"/>
        </w:rPr>
        <w:t>GS_HQ_area.shp</w:t>
      </w:r>
      <w:proofErr w:type="spellEnd"/>
    </w:p>
    <w:p w:rsidR="00FC6BFD" w:rsidRDefault="00FC6BFD" w:rsidP="00FF7E45">
      <w:pPr>
        <w:numPr>
          <w:ilvl w:val="1"/>
          <w:numId w:val="2"/>
        </w:numPr>
        <w:autoSpaceDE w:val="0"/>
        <w:autoSpaceDN w:val="0"/>
        <w:adjustRightInd w:val="0"/>
      </w:pPr>
      <w:r w:rsidRPr="005F2448">
        <w:t xml:space="preserve">This </w:t>
      </w:r>
      <w:proofErr w:type="spellStart"/>
      <w:r w:rsidRPr="005F2448">
        <w:t>shapefile</w:t>
      </w:r>
      <w:proofErr w:type="spellEnd"/>
      <w:r w:rsidRPr="005F2448">
        <w:t xml:space="preserve"> contains all the overlap analysis and risk scoring calculations with each row in the table corresponding to a particular gridded seascape cell.  Outputs are generated from the statistics in this polygon feature class.</w:t>
      </w:r>
    </w:p>
    <w:p w:rsidR="00E02B36" w:rsidRPr="00E02B36" w:rsidRDefault="00E02B36" w:rsidP="00E02B36">
      <w:pPr>
        <w:autoSpaceDE w:val="0"/>
        <w:autoSpaceDN w:val="0"/>
        <w:adjustRightInd w:val="0"/>
        <w:ind w:left="1440"/>
      </w:pPr>
    </w:p>
    <w:p w:rsidR="00FF7E45" w:rsidRPr="00573552" w:rsidRDefault="002B4E2B" w:rsidP="00FF7E45">
      <w:pPr>
        <w:pStyle w:val="Heading1"/>
        <w:rPr>
          <w:rFonts w:ascii="Times New Roman" w:hAnsi="Times New Roman"/>
          <w:i/>
          <w:color w:val="auto"/>
        </w:rPr>
      </w:pPr>
      <w:r w:rsidRPr="002B4E2B">
        <w:rPr>
          <w:rFonts w:ascii="Times New Roman" w:hAnsi="Times New Roman"/>
          <w:i/>
          <w:color w:val="auto"/>
        </w:rPr>
        <w:t>References</w:t>
      </w:r>
      <w:bookmarkEnd w:id="4"/>
    </w:p>
    <w:p w:rsidR="00F13B7C" w:rsidRPr="002E5B45" w:rsidDel="00F13B7C" w:rsidRDefault="00F13B7C" w:rsidP="00FF7E45"/>
    <w:p w:rsidR="00F13B7C" w:rsidRDefault="00F13B7C" w:rsidP="00F13B7C">
      <w:proofErr w:type="spellStart"/>
      <w:proofErr w:type="gramStart"/>
      <w:r w:rsidRPr="00F13B7C">
        <w:t>Astles</w:t>
      </w:r>
      <w:proofErr w:type="spellEnd"/>
      <w:r w:rsidRPr="00F13B7C">
        <w:t xml:space="preserve">, K. L., Holloway, M. G., </w:t>
      </w:r>
      <w:proofErr w:type="spellStart"/>
      <w:r w:rsidRPr="00F13B7C">
        <w:t>Steffe</w:t>
      </w:r>
      <w:proofErr w:type="spellEnd"/>
      <w:r w:rsidRPr="00F13B7C">
        <w:t xml:space="preserve">, A., Green, M., </w:t>
      </w:r>
      <w:proofErr w:type="spellStart"/>
      <w:r w:rsidRPr="00F13B7C">
        <w:t>Ganassin</w:t>
      </w:r>
      <w:proofErr w:type="spellEnd"/>
      <w:r w:rsidRPr="00F13B7C">
        <w:t>, C., &amp; Gibbs, P. J. (2006).</w:t>
      </w:r>
      <w:proofErr w:type="gramEnd"/>
      <w:r w:rsidRPr="00F13B7C">
        <w:t xml:space="preserve"> </w:t>
      </w:r>
      <w:proofErr w:type="gramStart"/>
      <w:r w:rsidRPr="00F13B7C">
        <w:t>An ecological method for qualitative risk assessment and its use in the management of fisheries in New South Wales, Australia.</w:t>
      </w:r>
      <w:proofErr w:type="gramEnd"/>
      <w:r w:rsidRPr="00F13B7C">
        <w:t xml:space="preserve"> </w:t>
      </w:r>
      <w:r w:rsidRPr="00F13B7C">
        <w:rPr>
          <w:i/>
        </w:rPr>
        <w:t>Fisheries Research</w:t>
      </w:r>
      <w:r w:rsidRPr="00F13B7C">
        <w:t xml:space="preserve">, </w:t>
      </w:r>
      <w:r w:rsidRPr="00F13B7C">
        <w:rPr>
          <w:i/>
        </w:rPr>
        <w:t>82</w:t>
      </w:r>
      <w:r w:rsidRPr="00F13B7C">
        <w:t>(1-3), 290-303. doi:10.1016/j.fishres.2006.05.013</w:t>
      </w:r>
    </w:p>
    <w:p w:rsidR="00F13B7C" w:rsidRPr="00F13B7C" w:rsidRDefault="00F13B7C" w:rsidP="00F13B7C"/>
    <w:p w:rsidR="00F13B7C" w:rsidRDefault="00F62402" w:rsidP="00F13B7C">
      <w:pPr>
        <w:rPr>
          <w:rFonts w:cs="Calibri"/>
        </w:rPr>
      </w:pPr>
      <w:proofErr w:type="spellStart"/>
      <w:proofErr w:type="gramStart"/>
      <w:r w:rsidRPr="00F62402">
        <w:rPr>
          <w:rFonts w:cs="Calibri"/>
        </w:rPr>
        <w:t>Burgman</w:t>
      </w:r>
      <w:proofErr w:type="spellEnd"/>
      <w:r w:rsidRPr="00F62402">
        <w:rPr>
          <w:rFonts w:cs="Calibri"/>
        </w:rPr>
        <w:t>, M., 2005.</w:t>
      </w:r>
      <w:proofErr w:type="gramEnd"/>
      <w:r w:rsidRPr="00F62402">
        <w:rPr>
          <w:rFonts w:cs="Calibri"/>
        </w:rPr>
        <w:t xml:space="preserve"> </w:t>
      </w:r>
      <w:proofErr w:type="gramStart"/>
      <w:r w:rsidRPr="00F62402">
        <w:rPr>
          <w:rFonts w:cs="Calibri"/>
        </w:rPr>
        <w:t>Risks and decisions for conservation and environmental management.</w:t>
      </w:r>
      <w:proofErr w:type="gramEnd"/>
      <w:r w:rsidRPr="00F62402">
        <w:rPr>
          <w:rFonts w:cs="Calibri"/>
        </w:rPr>
        <w:t xml:space="preserve"> </w:t>
      </w:r>
      <w:proofErr w:type="gramStart"/>
      <w:r w:rsidRPr="00F62402">
        <w:rPr>
          <w:rFonts w:cs="Calibri"/>
        </w:rPr>
        <w:t>Cambridge University Press, Cambridge, UK.</w:t>
      </w:r>
      <w:proofErr w:type="gramEnd"/>
    </w:p>
    <w:p w:rsidR="00865D02" w:rsidRDefault="00865D02" w:rsidP="00F13B7C">
      <w:pPr>
        <w:rPr>
          <w:rFonts w:cs="Calibri"/>
        </w:rPr>
      </w:pPr>
    </w:p>
    <w:p w:rsidR="00865D02" w:rsidRPr="00865D02" w:rsidRDefault="00865D02" w:rsidP="00865D02">
      <w:pPr>
        <w:rPr>
          <w:rFonts w:cs="Calibri"/>
        </w:rPr>
      </w:pPr>
      <w:proofErr w:type="gramStart"/>
      <w:r w:rsidRPr="00865D02">
        <w:rPr>
          <w:rFonts w:cs="Calibri"/>
        </w:rPr>
        <w:t xml:space="preserve">Crain, C. M., </w:t>
      </w:r>
      <w:proofErr w:type="spellStart"/>
      <w:r w:rsidRPr="00865D02">
        <w:rPr>
          <w:rFonts w:cs="Calibri"/>
        </w:rPr>
        <w:t>Kroeker</w:t>
      </w:r>
      <w:proofErr w:type="spellEnd"/>
      <w:r w:rsidRPr="00865D02">
        <w:rPr>
          <w:rFonts w:cs="Calibri"/>
        </w:rPr>
        <w:t>, K., &amp; Halpern, B. S. (2008).</w:t>
      </w:r>
      <w:proofErr w:type="gramEnd"/>
      <w:r w:rsidRPr="00865D02">
        <w:rPr>
          <w:rFonts w:cs="Calibri"/>
        </w:rPr>
        <w:t xml:space="preserve"> </w:t>
      </w:r>
      <w:proofErr w:type="gramStart"/>
      <w:r w:rsidRPr="00865D02">
        <w:rPr>
          <w:rFonts w:cs="Calibri"/>
        </w:rPr>
        <w:t>Interactive and cumulative effects of multiple human stressors in marine systems.</w:t>
      </w:r>
      <w:proofErr w:type="gramEnd"/>
      <w:r w:rsidRPr="00865D02">
        <w:rPr>
          <w:rFonts w:cs="Calibri"/>
        </w:rPr>
        <w:t xml:space="preserve"> </w:t>
      </w:r>
      <w:r w:rsidRPr="00865D02">
        <w:rPr>
          <w:rFonts w:cs="Calibri"/>
          <w:i/>
        </w:rPr>
        <w:t>Ecology Letters</w:t>
      </w:r>
      <w:r w:rsidRPr="00865D02">
        <w:rPr>
          <w:rFonts w:cs="Calibri"/>
        </w:rPr>
        <w:t xml:space="preserve">, </w:t>
      </w:r>
      <w:r w:rsidRPr="00865D02">
        <w:rPr>
          <w:rFonts w:cs="Calibri"/>
          <w:i/>
        </w:rPr>
        <w:t>11</w:t>
      </w:r>
      <w:r w:rsidRPr="00865D02">
        <w:rPr>
          <w:rFonts w:cs="Calibri"/>
        </w:rPr>
        <w:t>(12), 1304-1315. doi:10.1111/j.1461-0248.2008.01253.x</w:t>
      </w:r>
    </w:p>
    <w:p w:rsidR="00F13B7C" w:rsidRPr="00F13B7C" w:rsidRDefault="00F13B7C" w:rsidP="00F13B7C">
      <w:pPr>
        <w:rPr>
          <w:rFonts w:cs="Calibri"/>
        </w:rPr>
      </w:pPr>
      <w:bookmarkStart w:id="5" w:name="_GoBack"/>
      <w:bookmarkEnd w:id="5"/>
    </w:p>
    <w:p w:rsidR="00F13B7C" w:rsidRDefault="00F13B7C" w:rsidP="0069385A">
      <w:proofErr w:type="gramStart"/>
      <w:r w:rsidRPr="00F13B7C">
        <w:t>Dawson, T. P., Jackson, S. T., House, J. I., Prentice, I. C., &amp; Mace, G. M. (2011).</w:t>
      </w:r>
      <w:proofErr w:type="gramEnd"/>
      <w:r w:rsidRPr="00F13B7C">
        <w:t xml:space="preserve"> Beyond Predictions: Biodiversity Conservation in a Changing Climate. </w:t>
      </w:r>
      <w:r w:rsidRPr="00F13B7C">
        <w:rPr>
          <w:i/>
        </w:rPr>
        <w:t>Science</w:t>
      </w:r>
      <w:r w:rsidRPr="00F13B7C">
        <w:t xml:space="preserve">, </w:t>
      </w:r>
      <w:r w:rsidRPr="00F13B7C">
        <w:rPr>
          <w:i/>
        </w:rPr>
        <w:t>332</w:t>
      </w:r>
      <w:r w:rsidRPr="00F13B7C">
        <w:t>(6025), 53-58. doi:10.1126/science.1200303</w:t>
      </w:r>
    </w:p>
    <w:p w:rsidR="00F13B7C" w:rsidRPr="00F13B7C" w:rsidRDefault="00F13B7C" w:rsidP="0069385A"/>
    <w:p w:rsidR="00F13B7C" w:rsidRDefault="00F13B7C" w:rsidP="0069385A">
      <w:r w:rsidRPr="00F13B7C">
        <w:lastRenderedPageBreak/>
        <w:t xml:space="preserve">Halpern, B. S., Walbridge, S., </w:t>
      </w:r>
      <w:proofErr w:type="spellStart"/>
      <w:r w:rsidRPr="00F13B7C">
        <w:t>Selkoe</w:t>
      </w:r>
      <w:proofErr w:type="spellEnd"/>
      <w:r w:rsidRPr="00F13B7C">
        <w:t xml:space="preserve">, K. A., </w:t>
      </w:r>
      <w:proofErr w:type="spellStart"/>
      <w:r w:rsidRPr="00F13B7C">
        <w:t>Kappel</w:t>
      </w:r>
      <w:proofErr w:type="spellEnd"/>
      <w:r w:rsidRPr="00F13B7C">
        <w:t xml:space="preserve">, C. V., </w:t>
      </w:r>
      <w:proofErr w:type="spellStart"/>
      <w:r w:rsidRPr="00F13B7C">
        <w:t>Micheli</w:t>
      </w:r>
      <w:proofErr w:type="spellEnd"/>
      <w:r w:rsidRPr="00F13B7C">
        <w:t xml:space="preserve">, F., </w:t>
      </w:r>
      <w:proofErr w:type="spellStart"/>
      <w:r w:rsidRPr="00F13B7C">
        <w:t>D’Agrosa</w:t>
      </w:r>
      <w:proofErr w:type="spellEnd"/>
      <w:r w:rsidRPr="00F13B7C">
        <w:t xml:space="preserve">, C., Bruno, J. F., et al. (2008). </w:t>
      </w:r>
      <w:proofErr w:type="gramStart"/>
      <w:r w:rsidRPr="00F13B7C">
        <w:t>A Global Map of Human Impact on Marine Ecosystems.</w:t>
      </w:r>
      <w:proofErr w:type="gramEnd"/>
      <w:r w:rsidRPr="00F13B7C">
        <w:t xml:space="preserve"> </w:t>
      </w:r>
      <w:r w:rsidRPr="00F13B7C">
        <w:rPr>
          <w:i/>
        </w:rPr>
        <w:t>Science</w:t>
      </w:r>
      <w:r w:rsidRPr="00F13B7C">
        <w:t xml:space="preserve">, </w:t>
      </w:r>
      <w:r w:rsidRPr="00F13B7C">
        <w:rPr>
          <w:i/>
        </w:rPr>
        <w:t>319</w:t>
      </w:r>
      <w:r w:rsidRPr="00F13B7C">
        <w:t>(5865), 948-952. doi:10.1126/science.1149345</w:t>
      </w:r>
    </w:p>
    <w:p w:rsidR="00F13B7C" w:rsidRPr="00F13B7C" w:rsidRDefault="00F13B7C" w:rsidP="0069385A"/>
    <w:p w:rsidR="00F13B7C" w:rsidRDefault="00F13B7C" w:rsidP="00F13B7C">
      <w:proofErr w:type="spellStart"/>
      <w:r w:rsidRPr="00F13B7C">
        <w:t>Hobday</w:t>
      </w:r>
      <w:proofErr w:type="spellEnd"/>
      <w:r w:rsidRPr="00F13B7C">
        <w:t xml:space="preserve">, A. J., Smith, A. D. M., </w:t>
      </w:r>
      <w:proofErr w:type="spellStart"/>
      <w:r w:rsidRPr="00F13B7C">
        <w:t>Stobutzki</w:t>
      </w:r>
      <w:proofErr w:type="spellEnd"/>
      <w:r w:rsidRPr="00F13B7C">
        <w:t xml:space="preserve">, I. C., </w:t>
      </w:r>
      <w:proofErr w:type="spellStart"/>
      <w:r w:rsidRPr="00F13B7C">
        <w:t>Bulman</w:t>
      </w:r>
      <w:proofErr w:type="spellEnd"/>
      <w:r w:rsidRPr="00F13B7C">
        <w:t xml:space="preserve">, C., Daley, R., </w:t>
      </w:r>
      <w:proofErr w:type="spellStart"/>
      <w:r w:rsidRPr="00F13B7C">
        <w:t>Dambacher</w:t>
      </w:r>
      <w:proofErr w:type="spellEnd"/>
      <w:r w:rsidRPr="00F13B7C">
        <w:t xml:space="preserve">, J. M., Deng, R. A., et al. (2011). </w:t>
      </w:r>
      <w:proofErr w:type="gramStart"/>
      <w:r w:rsidRPr="00F13B7C">
        <w:t>Ecological risk assessment for the effects of fishing.</w:t>
      </w:r>
      <w:proofErr w:type="gramEnd"/>
      <w:r w:rsidRPr="00F13B7C">
        <w:t xml:space="preserve"> </w:t>
      </w:r>
      <w:r w:rsidRPr="00F13B7C">
        <w:rPr>
          <w:i/>
        </w:rPr>
        <w:t>Fisheries Research</w:t>
      </w:r>
      <w:r w:rsidRPr="00F13B7C">
        <w:t xml:space="preserve">, </w:t>
      </w:r>
      <w:r w:rsidRPr="00F13B7C">
        <w:rPr>
          <w:i/>
        </w:rPr>
        <w:t>108</w:t>
      </w:r>
      <w:r w:rsidRPr="00F13B7C">
        <w:t>(2-3), 372-384. doi:10.1016/j.fishres.2011.01.013</w:t>
      </w:r>
    </w:p>
    <w:p w:rsidR="00F13B7C" w:rsidRPr="00F13B7C" w:rsidRDefault="00F13B7C" w:rsidP="00F13B7C"/>
    <w:p w:rsidR="00F13B7C" w:rsidRDefault="00F13B7C" w:rsidP="00F13B7C">
      <w:proofErr w:type="spellStart"/>
      <w:r w:rsidRPr="00F13B7C">
        <w:t>Teck</w:t>
      </w:r>
      <w:proofErr w:type="spellEnd"/>
      <w:r w:rsidRPr="00F13B7C">
        <w:t xml:space="preserve">, S. J., Halpern, B. S., </w:t>
      </w:r>
      <w:proofErr w:type="spellStart"/>
      <w:r w:rsidRPr="00F13B7C">
        <w:t>Kappel</w:t>
      </w:r>
      <w:proofErr w:type="spellEnd"/>
      <w:r w:rsidRPr="00F13B7C">
        <w:t xml:space="preserve">, C. V., </w:t>
      </w:r>
      <w:proofErr w:type="spellStart"/>
      <w:r w:rsidRPr="00F13B7C">
        <w:t>Micheli</w:t>
      </w:r>
      <w:proofErr w:type="spellEnd"/>
      <w:r w:rsidRPr="00F13B7C">
        <w:t xml:space="preserve">, F., </w:t>
      </w:r>
      <w:proofErr w:type="spellStart"/>
      <w:r w:rsidRPr="00F13B7C">
        <w:t>Selkoe</w:t>
      </w:r>
      <w:proofErr w:type="spellEnd"/>
      <w:r w:rsidRPr="00F13B7C">
        <w:t xml:space="preserve">, K. A., Crain, C. M., </w:t>
      </w:r>
      <w:proofErr w:type="spellStart"/>
      <w:r w:rsidRPr="00F13B7C">
        <w:t>Martone</w:t>
      </w:r>
      <w:proofErr w:type="spellEnd"/>
      <w:r w:rsidRPr="00F13B7C">
        <w:t xml:space="preserve">, R., et al. (2010). Using expert judgment to estimate marine ecosystem vulnerability in the California Current. </w:t>
      </w:r>
      <w:r w:rsidRPr="00F13B7C">
        <w:rPr>
          <w:i/>
        </w:rPr>
        <w:t>Ecological Applications: A Publication of the Ecological Society of America</w:t>
      </w:r>
      <w:r w:rsidRPr="00F13B7C">
        <w:t xml:space="preserve">, </w:t>
      </w:r>
      <w:r w:rsidRPr="00F13B7C">
        <w:rPr>
          <w:i/>
        </w:rPr>
        <w:t>20</w:t>
      </w:r>
      <w:r w:rsidRPr="00F13B7C">
        <w:t>(5), 1402-1416.</w:t>
      </w:r>
    </w:p>
    <w:p w:rsidR="00F13B7C" w:rsidRPr="00F13B7C" w:rsidRDefault="00F13B7C" w:rsidP="00F13B7C"/>
    <w:p w:rsidR="00F13B7C" w:rsidRPr="00F13B7C" w:rsidRDefault="00F13B7C" w:rsidP="00F13B7C">
      <w:r w:rsidRPr="00F13B7C">
        <w:t xml:space="preserve">Williams, A., </w:t>
      </w:r>
      <w:proofErr w:type="spellStart"/>
      <w:r w:rsidRPr="00F13B7C">
        <w:t>Dowdney</w:t>
      </w:r>
      <w:proofErr w:type="spellEnd"/>
      <w:r w:rsidRPr="00F13B7C">
        <w:t xml:space="preserve">, J., Smith, A. D. M., </w:t>
      </w:r>
      <w:proofErr w:type="spellStart"/>
      <w:r w:rsidRPr="00F13B7C">
        <w:t>Hobday</w:t>
      </w:r>
      <w:proofErr w:type="spellEnd"/>
      <w:r w:rsidRPr="00F13B7C">
        <w:t xml:space="preserve">, A. J., &amp; Fuller, M. (2011). Evaluating impacts of fishing on benthic habitats: A risk assessment framework applied to Australian fisheries. </w:t>
      </w:r>
      <w:r w:rsidRPr="00F13B7C">
        <w:rPr>
          <w:i/>
        </w:rPr>
        <w:t>Fisheries Research</w:t>
      </w:r>
      <w:r w:rsidRPr="00F13B7C">
        <w:t xml:space="preserve">, </w:t>
      </w:r>
      <w:r w:rsidRPr="00F13B7C">
        <w:rPr>
          <w:i/>
        </w:rPr>
        <w:t>In Press, Corrected Proof</w:t>
      </w:r>
      <w:r w:rsidRPr="00F13B7C">
        <w:t>. doi:10.1016/j.fishres.2011.01.028</w:t>
      </w:r>
    </w:p>
    <w:p w:rsidR="00F13B7C" w:rsidRDefault="00F13B7C"/>
    <w:sectPr w:rsidR="00F13B7C" w:rsidSect="00242698">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auto"/>
    <w:pitch w:val="variable"/>
    <w:sig w:usb0="00000003" w:usb1="00000000" w:usb2="00000000" w:usb3="00000000" w:csb0="00000001" w:csb1="00000000"/>
  </w:font>
  <w:font w:name="Perpetua Titling MT">
    <w:panose1 w:val="02020502060505020804"/>
    <w:charset w:val="00"/>
    <w:family w:val="roman"/>
    <w:pitch w:val="variable"/>
    <w:sig w:usb0="00000003" w:usb1="00000000" w:usb2="00000000" w:usb3="00000000" w:csb0="00000001" w:csb1="00000000"/>
  </w:font>
  <w:font w:name="Monaco">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singleLevel"/>
    <w:tmpl w:val="A47E087C"/>
    <w:name w:val="WW8Num15"/>
    <w:lvl w:ilvl="0">
      <w:start w:val="1"/>
      <w:numFmt w:val="lowerLetter"/>
      <w:lvlText w:val="%1."/>
      <w:lvlJc w:val="left"/>
      <w:pPr>
        <w:tabs>
          <w:tab w:val="num" w:pos="1440"/>
        </w:tabs>
        <w:ind w:left="1440" w:hanging="360"/>
      </w:pPr>
      <w:rPr>
        <w:b w:val="0"/>
      </w:rPr>
    </w:lvl>
  </w:abstractNum>
  <w:abstractNum w:abstractNumId="1">
    <w:nsid w:val="089871A3"/>
    <w:multiLevelType w:val="hybridMultilevel"/>
    <w:tmpl w:val="F618A722"/>
    <w:lvl w:ilvl="0" w:tplc="EA4AC5C6">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8ED7AA7"/>
    <w:multiLevelType w:val="hybridMultilevel"/>
    <w:tmpl w:val="8C7CE500"/>
    <w:lvl w:ilvl="0" w:tplc="04090001">
      <w:start w:val="1"/>
      <w:numFmt w:val="bullet"/>
      <w:lvlText w:val=""/>
      <w:lvlJc w:val="left"/>
      <w:pPr>
        <w:ind w:left="1080" w:hanging="360"/>
      </w:pPr>
      <w:rPr>
        <w:rFonts w:ascii="Symbol" w:hAnsi="Symbol"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203964BF"/>
    <w:multiLevelType w:val="multilevel"/>
    <w:tmpl w:val="9468EE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3D2572B1"/>
    <w:multiLevelType w:val="hybridMultilevel"/>
    <w:tmpl w:val="5DD66C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0106F12"/>
    <w:multiLevelType w:val="hybridMultilevel"/>
    <w:tmpl w:val="A8869518"/>
    <w:lvl w:ilvl="0" w:tplc="0409000F">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6A24CE"/>
    <w:multiLevelType w:val="hybridMultilevel"/>
    <w:tmpl w:val="78D63930"/>
    <w:lvl w:ilvl="0" w:tplc="04090001">
      <w:start w:val="1"/>
      <w:numFmt w:val="lowerRoman"/>
      <w:lvlText w:val="%1."/>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DF09AF"/>
    <w:multiLevelType w:val="hybridMultilevel"/>
    <w:tmpl w:val="78D89866"/>
    <w:lvl w:ilvl="0" w:tplc="0409000F">
      <w:start w:val="1"/>
      <w:numFmt w:val="decimal"/>
      <w:lvlText w:val="%1."/>
      <w:lvlJc w:val="left"/>
      <w:pPr>
        <w:ind w:left="720" w:hanging="360"/>
      </w:pPr>
      <w:rPr>
        <w:b w:val="0"/>
      </w:rPr>
    </w:lvl>
    <w:lvl w:ilvl="1" w:tplc="04090019">
      <w:start w:val="1"/>
      <w:numFmt w:val="bullet"/>
      <w:lvlText w:val="o"/>
      <w:lvlJc w:val="left"/>
      <w:pPr>
        <w:ind w:left="1440" w:hanging="360"/>
      </w:pPr>
      <w:rPr>
        <w:rFonts w:ascii="Courier New" w:hAnsi="Courier New" w:cs="Calibr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72031E92"/>
    <w:multiLevelType w:val="hybridMultilevel"/>
    <w:tmpl w:val="93B87C1E"/>
    <w:lvl w:ilvl="0" w:tplc="2C86891C">
      <w:start w:val="1"/>
      <w:numFmt w:val="decimal"/>
      <w:lvlText w:val="%1."/>
      <w:lvlJc w:val="left"/>
      <w:pPr>
        <w:tabs>
          <w:tab w:val="num" w:pos="720"/>
        </w:tabs>
        <w:ind w:left="720"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5"/>
  </w:num>
  <w:num w:numId="3">
    <w:abstractNumId w:val="6"/>
  </w:num>
  <w:num w:numId="4">
    <w:abstractNumId w:val="2"/>
  </w:num>
  <w:num w:numId="5">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compat>
    <w:doNotAutofitConstrainedTables/>
    <w:splitPgBreakAndParaMark/>
    <w:doNotVertAlignCellWithSp/>
    <w:doNotBreakConstrainedForcedTable/>
    <w:useAnsiKerningPairs/>
    <w:cachedColBalance/>
    <w:compatSetting w:name="compatibilityMode" w:uri="http://schemas.microsoft.com/office/word" w:val="12"/>
  </w:compat>
  <w:rsids>
    <w:rsidRoot w:val="00D35AF8"/>
    <w:rsid w:val="0001177F"/>
    <w:rsid w:val="000442DA"/>
    <w:rsid w:val="00072366"/>
    <w:rsid w:val="00091850"/>
    <w:rsid w:val="000A0300"/>
    <w:rsid w:val="000C0EB4"/>
    <w:rsid w:val="000C4A36"/>
    <w:rsid w:val="000D7C50"/>
    <w:rsid w:val="00102A68"/>
    <w:rsid w:val="0014563E"/>
    <w:rsid w:val="001763D1"/>
    <w:rsid w:val="00182947"/>
    <w:rsid w:val="00191323"/>
    <w:rsid w:val="001C4065"/>
    <w:rsid w:val="001D2C1B"/>
    <w:rsid w:val="001E2CB7"/>
    <w:rsid w:val="001E7776"/>
    <w:rsid w:val="001F18AB"/>
    <w:rsid w:val="001F27B4"/>
    <w:rsid w:val="0020317F"/>
    <w:rsid w:val="002218A2"/>
    <w:rsid w:val="00242698"/>
    <w:rsid w:val="00290BAC"/>
    <w:rsid w:val="002921FB"/>
    <w:rsid w:val="002B4E2B"/>
    <w:rsid w:val="002B5D5B"/>
    <w:rsid w:val="002E6974"/>
    <w:rsid w:val="0034391C"/>
    <w:rsid w:val="00351F6E"/>
    <w:rsid w:val="00363EF9"/>
    <w:rsid w:val="0036756F"/>
    <w:rsid w:val="00374AD8"/>
    <w:rsid w:val="003C1754"/>
    <w:rsid w:val="003C3670"/>
    <w:rsid w:val="003D46F8"/>
    <w:rsid w:val="003E4DB9"/>
    <w:rsid w:val="0040342B"/>
    <w:rsid w:val="00405465"/>
    <w:rsid w:val="0046342A"/>
    <w:rsid w:val="00467C0B"/>
    <w:rsid w:val="00486231"/>
    <w:rsid w:val="004A66B8"/>
    <w:rsid w:val="004E1202"/>
    <w:rsid w:val="004F2DFA"/>
    <w:rsid w:val="004F3B65"/>
    <w:rsid w:val="00521A43"/>
    <w:rsid w:val="00533F96"/>
    <w:rsid w:val="005429B7"/>
    <w:rsid w:val="00556556"/>
    <w:rsid w:val="00573552"/>
    <w:rsid w:val="005C0EE6"/>
    <w:rsid w:val="005C32F1"/>
    <w:rsid w:val="005D0669"/>
    <w:rsid w:val="005D0784"/>
    <w:rsid w:val="005E0FD9"/>
    <w:rsid w:val="005F22DA"/>
    <w:rsid w:val="00627574"/>
    <w:rsid w:val="00654B7A"/>
    <w:rsid w:val="00657E83"/>
    <w:rsid w:val="006777C0"/>
    <w:rsid w:val="006914D3"/>
    <w:rsid w:val="0069385A"/>
    <w:rsid w:val="00697151"/>
    <w:rsid w:val="006D4EE4"/>
    <w:rsid w:val="006E56FA"/>
    <w:rsid w:val="006E7753"/>
    <w:rsid w:val="00703E9D"/>
    <w:rsid w:val="00722FCB"/>
    <w:rsid w:val="00731203"/>
    <w:rsid w:val="00733860"/>
    <w:rsid w:val="00744830"/>
    <w:rsid w:val="007513FC"/>
    <w:rsid w:val="00761667"/>
    <w:rsid w:val="007748C7"/>
    <w:rsid w:val="00774D98"/>
    <w:rsid w:val="00791FAD"/>
    <w:rsid w:val="00793BD4"/>
    <w:rsid w:val="007F4D9E"/>
    <w:rsid w:val="00805FED"/>
    <w:rsid w:val="00810656"/>
    <w:rsid w:val="00865D02"/>
    <w:rsid w:val="0086615B"/>
    <w:rsid w:val="00874283"/>
    <w:rsid w:val="00887051"/>
    <w:rsid w:val="008B5B92"/>
    <w:rsid w:val="008E4763"/>
    <w:rsid w:val="00925C6C"/>
    <w:rsid w:val="009260F3"/>
    <w:rsid w:val="00930611"/>
    <w:rsid w:val="009523FB"/>
    <w:rsid w:val="009533EC"/>
    <w:rsid w:val="00987D99"/>
    <w:rsid w:val="00990345"/>
    <w:rsid w:val="009B0EC4"/>
    <w:rsid w:val="009C1F47"/>
    <w:rsid w:val="009C2299"/>
    <w:rsid w:val="009D4964"/>
    <w:rsid w:val="009F1669"/>
    <w:rsid w:val="00A0592D"/>
    <w:rsid w:val="00A104FB"/>
    <w:rsid w:val="00A32A0E"/>
    <w:rsid w:val="00A504EC"/>
    <w:rsid w:val="00A50AF6"/>
    <w:rsid w:val="00A51489"/>
    <w:rsid w:val="00A67B54"/>
    <w:rsid w:val="00AA5F0D"/>
    <w:rsid w:val="00AB698A"/>
    <w:rsid w:val="00AB6E3F"/>
    <w:rsid w:val="00AC5023"/>
    <w:rsid w:val="00B24239"/>
    <w:rsid w:val="00B55497"/>
    <w:rsid w:val="00B63D85"/>
    <w:rsid w:val="00B76A51"/>
    <w:rsid w:val="00B94186"/>
    <w:rsid w:val="00BC7FE3"/>
    <w:rsid w:val="00BD36FF"/>
    <w:rsid w:val="00BE2444"/>
    <w:rsid w:val="00BE3794"/>
    <w:rsid w:val="00C35177"/>
    <w:rsid w:val="00C61F70"/>
    <w:rsid w:val="00CB151B"/>
    <w:rsid w:val="00CE0BFF"/>
    <w:rsid w:val="00D0516B"/>
    <w:rsid w:val="00D058F5"/>
    <w:rsid w:val="00D12D82"/>
    <w:rsid w:val="00D20461"/>
    <w:rsid w:val="00D33D53"/>
    <w:rsid w:val="00D35AF8"/>
    <w:rsid w:val="00D60154"/>
    <w:rsid w:val="00D76D5A"/>
    <w:rsid w:val="00D8242C"/>
    <w:rsid w:val="00D90652"/>
    <w:rsid w:val="00D974F3"/>
    <w:rsid w:val="00DA3A5C"/>
    <w:rsid w:val="00DB0BD6"/>
    <w:rsid w:val="00E02B36"/>
    <w:rsid w:val="00E11D4B"/>
    <w:rsid w:val="00E23893"/>
    <w:rsid w:val="00E44C39"/>
    <w:rsid w:val="00E50769"/>
    <w:rsid w:val="00E53000"/>
    <w:rsid w:val="00E57605"/>
    <w:rsid w:val="00E8149A"/>
    <w:rsid w:val="00EC3A3E"/>
    <w:rsid w:val="00EC7995"/>
    <w:rsid w:val="00EF1C86"/>
    <w:rsid w:val="00F00E81"/>
    <w:rsid w:val="00F03F01"/>
    <w:rsid w:val="00F12CE5"/>
    <w:rsid w:val="00F13B7C"/>
    <w:rsid w:val="00F167AE"/>
    <w:rsid w:val="00F204BD"/>
    <w:rsid w:val="00F31E5F"/>
    <w:rsid w:val="00F52A35"/>
    <w:rsid w:val="00F575A8"/>
    <w:rsid w:val="00F62402"/>
    <w:rsid w:val="00F74152"/>
    <w:rsid w:val="00F83984"/>
    <w:rsid w:val="00FC2159"/>
    <w:rsid w:val="00FC6BFD"/>
    <w:rsid w:val="00FE3B0A"/>
    <w:rsid w:val="00FF7E4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annotation text" w:uiPriority="99"/>
    <w:lsdException w:name="annotation reference" w:uiPriority="99"/>
    <w:lsdException w:name="Hyperlink" w:uiPriority="99"/>
    <w:lsdException w:name="List Paragraph" w:uiPriority="34" w:qFormat="1"/>
  </w:latentStyles>
  <w:style w:type="paragraph" w:default="1" w:styleId="Normal">
    <w:name w:val="Normal"/>
    <w:qFormat/>
    <w:rsid w:val="00D35AF8"/>
    <w:rPr>
      <w:rFonts w:ascii="Times New Roman" w:eastAsia="Times New Roman" w:hAnsi="Times New Roman" w:cs="Times New Roman"/>
    </w:rPr>
  </w:style>
  <w:style w:type="paragraph" w:styleId="Heading1">
    <w:name w:val="heading 1"/>
    <w:basedOn w:val="Normal"/>
    <w:next w:val="Normal"/>
    <w:link w:val="Heading1Char"/>
    <w:uiPriority w:val="9"/>
    <w:qFormat/>
    <w:rsid w:val="00D35AF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5AF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D35AF8"/>
    <w:pPr>
      <w:keepNext/>
      <w:spacing w:before="240" w:after="60"/>
      <w:outlineLvl w:val="2"/>
    </w:pPr>
    <w:rPr>
      <w:rFonts w:ascii="Arial" w:eastAsia="Batang" w:hAnsi="Arial" w:cs="Arial"/>
      <w:b/>
      <w:bCs/>
      <w:sz w:val="26"/>
      <w:szCs w:val="26"/>
    </w:rPr>
  </w:style>
  <w:style w:type="paragraph" w:styleId="Heading4">
    <w:name w:val="heading 4"/>
    <w:basedOn w:val="Normal"/>
    <w:next w:val="Normal"/>
    <w:link w:val="Heading4Char"/>
    <w:uiPriority w:val="9"/>
    <w:semiHidden/>
    <w:unhideWhenUsed/>
    <w:qFormat/>
    <w:rsid w:val="00D35A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A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35A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35AF8"/>
    <w:rPr>
      <w:rFonts w:ascii="Arial" w:eastAsia="Batang" w:hAnsi="Arial" w:cs="Arial"/>
      <w:b/>
      <w:bCs/>
      <w:sz w:val="26"/>
      <w:szCs w:val="26"/>
    </w:rPr>
  </w:style>
  <w:style w:type="character" w:customStyle="1" w:styleId="Heading4Char">
    <w:name w:val="Heading 4 Char"/>
    <w:basedOn w:val="DefaultParagraphFont"/>
    <w:link w:val="Heading4"/>
    <w:uiPriority w:val="9"/>
    <w:semiHidden/>
    <w:rsid w:val="00D35AF8"/>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rsid w:val="00D35AF8"/>
    <w:rPr>
      <w:rFonts w:cs="Times New Roman"/>
      <w:sz w:val="18"/>
    </w:rPr>
  </w:style>
  <w:style w:type="paragraph" w:styleId="CommentText">
    <w:name w:val="annotation text"/>
    <w:basedOn w:val="Normal"/>
    <w:link w:val="CommentTextChar"/>
    <w:uiPriority w:val="99"/>
    <w:semiHidden/>
    <w:rsid w:val="00D35AF8"/>
  </w:style>
  <w:style w:type="character" w:customStyle="1" w:styleId="CommentTextChar">
    <w:name w:val="Comment Text Char"/>
    <w:basedOn w:val="DefaultParagraphFont"/>
    <w:link w:val="CommentText"/>
    <w:uiPriority w:val="99"/>
    <w:semiHidden/>
    <w:rsid w:val="00D35AF8"/>
    <w:rPr>
      <w:rFonts w:ascii="Times New Roman" w:eastAsia="Times New Roman" w:hAnsi="Times New Roman" w:cs="Times New Roman"/>
    </w:rPr>
  </w:style>
  <w:style w:type="character" w:styleId="Hyperlink">
    <w:name w:val="Hyperlink"/>
    <w:basedOn w:val="DefaultParagraphFont"/>
    <w:uiPriority w:val="99"/>
    <w:unhideWhenUsed/>
    <w:rsid w:val="00D35AF8"/>
    <w:rPr>
      <w:color w:val="0000FF"/>
      <w:u w:val="single"/>
    </w:rPr>
  </w:style>
  <w:style w:type="paragraph" w:styleId="BalloonText">
    <w:name w:val="Balloon Text"/>
    <w:basedOn w:val="Normal"/>
    <w:link w:val="BalloonTextChar"/>
    <w:uiPriority w:val="99"/>
    <w:semiHidden/>
    <w:unhideWhenUsed/>
    <w:rsid w:val="00D35AF8"/>
    <w:rPr>
      <w:rFonts w:ascii="Tahoma" w:hAnsi="Tahoma" w:cs="Tahoma"/>
      <w:sz w:val="16"/>
      <w:szCs w:val="16"/>
    </w:rPr>
  </w:style>
  <w:style w:type="character" w:customStyle="1" w:styleId="BalloonTextChar">
    <w:name w:val="Balloon Text Char"/>
    <w:basedOn w:val="DefaultParagraphFont"/>
    <w:link w:val="BalloonText"/>
    <w:uiPriority w:val="99"/>
    <w:semiHidden/>
    <w:rsid w:val="00D35AF8"/>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D35AF8"/>
    <w:rPr>
      <w:b/>
      <w:bCs/>
      <w:sz w:val="20"/>
      <w:szCs w:val="20"/>
    </w:rPr>
  </w:style>
  <w:style w:type="character" w:customStyle="1" w:styleId="CommentSubjectChar">
    <w:name w:val="Comment Subject Char"/>
    <w:basedOn w:val="CommentTextChar"/>
    <w:link w:val="CommentSubject"/>
    <w:uiPriority w:val="99"/>
    <w:semiHidden/>
    <w:rsid w:val="00D35AF8"/>
    <w:rPr>
      <w:rFonts w:ascii="Times New Roman" w:eastAsia="Times New Roman" w:hAnsi="Times New Roman" w:cs="Times New Roman"/>
      <w:b/>
      <w:bCs/>
      <w:sz w:val="20"/>
      <w:szCs w:val="20"/>
    </w:rPr>
  </w:style>
  <w:style w:type="paragraph" w:styleId="ListParagraph">
    <w:name w:val="List Paragraph"/>
    <w:basedOn w:val="Normal"/>
    <w:uiPriority w:val="34"/>
    <w:qFormat/>
    <w:rsid w:val="00D35AF8"/>
    <w:pPr>
      <w:spacing w:after="200"/>
      <w:ind w:left="720"/>
    </w:pPr>
    <w:rPr>
      <w:rFonts w:ascii="Cambria" w:hAnsi="Cambria" w:cs="Cambria"/>
    </w:rPr>
  </w:style>
  <w:style w:type="paragraph" w:customStyle="1" w:styleId="Default">
    <w:name w:val="Default"/>
    <w:rsid w:val="00D35AF8"/>
    <w:pPr>
      <w:autoSpaceDE w:val="0"/>
      <w:autoSpaceDN w:val="0"/>
      <w:adjustRightInd w:val="0"/>
    </w:pPr>
    <w:rPr>
      <w:rFonts w:ascii="Times New Roman" w:hAnsi="Times New Roman" w:cs="Times New Roman"/>
      <w:color w:val="000000"/>
    </w:rPr>
  </w:style>
  <w:style w:type="paragraph" w:styleId="Caption">
    <w:name w:val="caption"/>
    <w:basedOn w:val="Normal"/>
    <w:next w:val="Normal"/>
    <w:qFormat/>
    <w:rsid w:val="00D35AF8"/>
    <w:pPr>
      <w:suppressAutoHyphens/>
      <w:spacing w:after="200"/>
    </w:pPr>
    <w:rPr>
      <w:rFonts w:ascii="Calibri" w:eastAsia="Calibri" w:hAnsi="Calibri" w:cs="Calibri"/>
      <w:b/>
      <w:bCs/>
      <w:color w:val="4F81BD"/>
      <w:sz w:val="18"/>
      <w:szCs w:val="18"/>
      <w:lang w:eastAsia="ar-SA"/>
    </w:rPr>
  </w:style>
  <w:style w:type="paragraph" w:styleId="TOCHeading">
    <w:name w:val="TOC Heading"/>
    <w:basedOn w:val="Heading1"/>
    <w:next w:val="Normal"/>
    <w:uiPriority w:val="39"/>
    <w:semiHidden/>
    <w:unhideWhenUsed/>
    <w:qFormat/>
    <w:rsid w:val="00D35AF8"/>
    <w:pPr>
      <w:spacing w:line="276" w:lineRule="auto"/>
      <w:outlineLvl w:val="9"/>
    </w:pPr>
    <w:rPr>
      <w:lang w:eastAsia="ja-JP"/>
    </w:rPr>
  </w:style>
  <w:style w:type="paragraph" w:styleId="TOC1">
    <w:name w:val="toc 1"/>
    <w:basedOn w:val="Normal"/>
    <w:next w:val="Normal"/>
    <w:autoRedefine/>
    <w:uiPriority w:val="39"/>
    <w:unhideWhenUsed/>
    <w:rsid w:val="00D35AF8"/>
    <w:pPr>
      <w:spacing w:after="100"/>
    </w:pPr>
  </w:style>
  <w:style w:type="paragraph" w:styleId="TOC2">
    <w:name w:val="toc 2"/>
    <w:basedOn w:val="Normal"/>
    <w:next w:val="Normal"/>
    <w:autoRedefine/>
    <w:uiPriority w:val="39"/>
    <w:unhideWhenUsed/>
    <w:rsid w:val="00D35AF8"/>
    <w:pPr>
      <w:spacing w:after="100"/>
      <w:ind w:left="240"/>
    </w:pPr>
  </w:style>
  <w:style w:type="paragraph" w:styleId="NormalWeb">
    <w:name w:val="Normal (Web)"/>
    <w:basedOn w:val="Normal"/>
    <w:uiPriority w:val="99"/>
    <w:unhideWhenUsed/>
    <w:rsid w:val="00D35AF8"/>
    <w:pPr>
      <w:spacing w:before="100" w:beforeAutospacing="1" w:after="100" w:afterAutospacing="1"/>
    </w:pPr>
  </w:style>
  <w:style w:type="character" w:customStyle="1" w:styleId="apple-converted-space">
    <w:name w:val="apple-converted-space"/>
    <w:basedOn w:val="DefaultParagraphFont"/>
    <w:rsid w:val="00D35AF8"/>
  </w:style>
  <w:style w:type="character" w:styleId="Emphasis">
    <w:name w:val="Emphasis"/>
    <w:basedOn w:val="DefaultParagraphFont"/>
    <w:uiPriority w:val="20"/>
    <w:qFormat/>
    <w:rsid w:val="00D35AF8"/>
    <w:rPr>
      <w:i/>
      <w:iCs/>
    </w:rPr>
  </w:style>
  <w:style w:type="paragraph" w:styleId="Revision">
    <w:name w:val="Revision"/>
    <w:hidden/>
    <w:uiPriority w:val="99"/>
    <w:semiHidden/>
    <w:rsid w:val="00D35AF8"/>
    <w:rPr>
      <w:rFonts w:ascii="Times New Roman" w:eastAsia="Times New Roman" w:hAnsi="Times New Roman" w:cs="Times New Roman"/>
    </w:rPr>
  </w:style>
  <w:style w:type="table" w:styleId="TableGrid">
    <w:name w:val="Table Grid"/>
    <w:basedOn w:val="TableNormal"/>
    <w:uiPriority w:val="59"/>
    <w:rsid w:val="00D35AF8"/>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semiHidden/>
    <w:unhideWhenUsed/>
    <w:rsid w:val="00D35AF8"/>
    <w:pPr>
      <w:tabs>
        <w:tab w:val="center" w:pos="4320"/>
        <w:tab w:val="right" w:pos="8640"/>
      </w:tabs>
    </w:pPr>
  </w:style>
  <w:style w:type="character" w:customStyle="1" w:styleId="FooterChar">
    <w:name w:val="Footer Char"/>
    <w:basedOn w:val="DefaultParagraphFont"/>
    <w:link w:val="Footer"/>
    <w:uiPriority w:val="99"/>
    <w:semiHidden/>
    <w:rsid w:val="00D35AF8"/>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71645">
      <w:bodyDiv w:val="1"/>
      <w:marLeft w:val="0"/>
      <w:marRight w:val="0"/>
      <w:marTop w:val="0"/>
      <w:marBottom w:val="0"/>
      <w:divBdr>
        <w:top w:val="none" w:sz="0" w:space="0" w:color="auto"/>
        <w:left w:val="none" w:sz="0" w:space="0" w:color="auto"/>
        <w:bottom w:val="none" w:sz="0" w:space="0" w:color="auto"/>
        <w:right w:val="none" w:sz="0" w:space="0" w:color="auto"/>
      </w:divBdr>
      <w:divsChild>
        <w:div w:id="847598901">
          <w:marLeft w:val="0"/>
          <w:marRight w:val="0"/>
          <w:marTop w:val="0"/>
          <w:marBottom w:val="0"/>
          <w:divBdr>
            <w:top w:val="none" w:sz="0" w:space="0" w:color="auto"/>
            <w:left w:val="none" w:sz="0" w:space="0" w:color="auto"/>
            <w:bottom w:val="none" w:sz="0" w:space="0" w:color="auto"/>
            <w:right w:val="none" w:sz="0" w:space="0" w:color="auto"/>
          </w:divBdr>
          <w:divsChild>
            <w:div w:id="11960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7496">
      <w:bodyDiv w:val="1"/>
      <w:marLeft w:val="0"/>
      <w:marRight w:val="0"/>
      <w:marTop w:val="0"/>
      <w:marBottom w:val="0"/>
      <w:divBdr>
        <w:top w:val="none" w:sz="0" w:space="0" w:color="auto"/>
        <w:left w:val="none" w:sz="0" w:space="0" w:color="auto"/>
        <w:bottom w:val="none" w:sz="0" w:space="0" w:color="auto"/>
        <w:right w:val="none" w:sz="0" w:space="0" w:color="auto"/>
      </w:divBdr>
      <w:divsChild>
        <w:div w:id="936986833">
          <w:marLeft w:val="0"/>
          <w:marRight w:val="0"/>
          <w:marTop w:val="0"/>
          <w:marBottom w:val="0"/>
          <w:divBdr>
            <w:top w:val="none" w:sz="0" w:space="0" w:color="auto"/>
            <w:left w:val="none" w:sz="0" w:space="0" w:color="auto"/>
            <w:bottom w:val="none" w:sz="0" w:space="0" w:color="auto"/>
            <w:right w:val="none" w:sz="0" w:space="0" w:color="auto"/>
          </w:divBdr>
          <w:divsChild>
            <w:div w:id="14013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8777">
      <w:bodyDiv w:val="1"/>
      <w:marLeft w:val="0"/>
      <w:marRight w:val="0"/>
      <w:marTop w:val="0"/>
      <w:marBottom w:val="0"/>
      <w:divBdr>
        <w:top w:val="none" w:sz="0" w:space="0" w:color="auto"/>
        <w:left w:val="none" w:sz="0" w:space="0" w:color="auto"/>
        <w:bottom w:val="none" w:sz="0" w:space="0" w:color="auto"/>
        <w:right w:val="none" w:sz="0" w:space="0" w:color="auto"/>
      </w:divBdr>
      <w:divsChild>
        <w:div w:id="1028023234">
          <w:marLeft w:val="0"/>
          <w:marRight w:val="0"/>
          <w:marTop w:val="0"/>
          <w:marBottom w:val="0"/>
          <w:divBdr>
            <w:top w:val="none" w:sz="0" w:space="0" w:color="auto"/>
            <w:left w:val="none" w:sz="0" w:space="0" w:color="auto"/>
            <w:bottom w:val="none" w:sz="0" w:space="0" w:color="auto"/>
            <w:right w:val="none" w:sz="0" w:space="0" w:color="auto"/>
          </w:divBdr>
          <w:divsChild>
            <w:div w:id="17538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9417">
      <w:bodyDiv w:val="1"/>
      <w:marLeft w:val="0"/>
      <w:marRight w:val="0"/>
      <w:marTop w:val="0"/>
      <w:marBottom w:val="0"/>
      <w:divBdr>
        <w:top w:val="none" w:sz="0" w:space="0" w:color="auto"/>
        <w:left w:val="none" w:sz="0" w:space="0" w:color="auto"/>
        <w:bottom w:val="none" w:sz="0" w:space="0" w:color="auto"/>
        <w:right w:val="none" w:sz="0" w:space="0" w:color="auto"/>
      </w:divBdr>
      <w:divsChild>
        <w:div w:id="419059803">
          <w:marLeft w:val="0"/>
          <w:marRight w:val="0"/>
          <w:marTop w:val="0"/>
          <w:marBottom w:val="0"/>
          <w:divBdr>
            <w:top w:val="none" w:sz="0" w:space="0" w:color="auto"/>
            <w:left w:val="none" w:sz="0" w:space="0" w:color="auto"/>
            <w:bottom w:val="none" w:sz="0" w:space="0" w:color="auto"/>
            <w:right w:val="none" w:sz="0" w:space="0" w:color="auto"/>
          </w:divBdr>
          <w:divsChild>
            <w:div w:id="2160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8132">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8">
          <w:marLeft w:val="0"/>
          <w:marRight w:val="0"/>
          <w:marTop w:val="0"/>
          <w:marBottom w:val="0"/>
          <w:divBdr>
            <w:top w:val="none" w:sz="0" w:space="0" w:color="auto"/>
            <w:left w:val="none" w:sz="0" w:space="0" w:color="auto"/>
            <w:bottom w:val="none" w:sz="0" w:space="0" w:color="auto"/>
            <w:right w:val="none" w:sz="0" w:space="0" w:color="auto"/>
          </w:divBdr>
          <w:divsChild>
            <w:div w:id="20180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07269">
      <w:bodyDiv w:val="1"/>
      <w:marLeft w:val="0"/>
      <w:marRight w:val="0"/>
      <w:marTop w:val="0"/>
      <w:marBottom w:val="0"/>
      <w:divBdr>
        <w:top w:val="none" w:sz="0" w:space="0" w:color="auto"/>
        <w:left w:val="none" w:sz="0" w:space="0" w:color="auto"/>
        <w:bottom w:val="none" w:sz="0" w:space="0" w:color="auto"/>
        <w:right w:val="none" w:sz="0" w:space="0" w:color="auto"/>
      </w:divBdr>
      <w:divsChild>
        <w:div w:id="383483334">
          <w:marLeft w:val="0"/>
          <w:marRight w:val="0"/>
          <w:marTop w:val="0"/>
          <w:marBottom w:val="0"/>
          <w:divBdr>
            <w:top w:val="none" w:sz="0" w:space="0" w:color="auto"/>
            <w:left w:val="none" w:sz="0" w:space="0" w:color="auto"/>
            <w:bottom w:val="none" w:sz="0" w:space="0" w:color="auto"/>
            <w:right w:val="none" w:sz="0" w:space="0" w:color="auto"/>
          </w:divBdr>
          <w:divsChild>
            <w:div w:id="4212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1023">
      <w:bodyDiv w:val="1"/>
      <w:marLeft w:val="0"/>
      <w:marRight w:val="0"/>
      <w:marTop w:val="0"/>
      <w:marBottom w:val="0"/>
      <w:divBdr>
        <w:top w:val="none" w:sz="0" w:space="0" w:color="auto"/>
        <w:left w:val="none" w:sz="0" w:space="0" w:color="auto"/>
        <w:bottom w:val="none" w:sz="0" w:space="0" w:color="auto"/>
        <w:right w:val="none" w:sz="0" w:space="0" w:color="auto"/>
      </w:divBdr>
      <w:divsChild>
        <w:div w:id="1580335129">
          <w:marLeft w:val="0"/>
          <w:marRight w:val="0"/>
          <w:marTop w:val="0"/>
          <w:marBottom w:val="0"/>
          <w:divBdr>
            <w:top w:val="none" w:sz="0" w:space="0" w:color="auto"/>
            <w:left w:val="none" w:sz="0" w:space="0" w:color="auto"/>
            <w:bottom w:val="none" w:sz="0" w:space="0" w:color="auto"/>
            <w:right w:val="none" w:sz="0" w:space="0" w:color="auto"/>
          </w:divBdr>
          <w:divsChild>
            <w:div w:id="17762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7759">
      <w:bodyDiv w:val="1"/>
      <w:marLeft w:val="0"/>
      <w:marRight w:val="0"/>
      <w:marTop w:val="0"/>
      <w:marBottom w:val="0"/>
      <w:divBdr>
        <w:top w:val="none" w:sz="0" w:space="0" w:color="auto"/>
        <w:left w:val="none" w:sz="0" w:space="0" w:color="auto"/>
        <w:bottom w:val="none" w:sz="0" w:space="0" w:color="auto"/>
        <w:right w:val="none" w:sz="0" w:space="0" w:color="auto"/>
      </w:divBdr>
      <w:divsChild>
        <w:div w:id="1263805891">
          <w:marLeft w:val="0"/>
          <w:marRight w:val="0"/>
          <w:marTop w:val="0"/>
          <w:marBottom w:val="0"/>
          <w:divBdr>
            <w:top w:val="none" w:sz="0" w:space="0" w:color="auto"/>
            <w:left w:val="none" w:sz="0" w:space="0" w:color="auto"/>
            <w:bottom w:val="none" w:sz="0" w:space="0" w:color="auto"/>
            <w:right w:val="none" w:sz="0" w:space="0" w:color="auto"/>
          </w:divBdr>
          <w:divsChild>
            <w:div w:id="118286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3925">
      <w:bodyDiv w:val="1"/>
      <w:marLeft w:val="0"/>
      <w:marRight w:val="0"/>
      <w:marTop w:val="0"/>
      <w:marBottom w:val="0"/>
      <w:divBdr>
        <w:top w:val="none" w:sz="0" w:space="0" w:color="auto"/>
        <w:left w:val="none" w:sz="0" w:space="0" w:color="auto"/>
        <w:bottom w:val="none" w:sz="0" w:space="0" w:color="auto"/>
        <w:right w:val="none" w:sz="0" w:space="0" w:color="auto"/>
      </w:divBdr>
      <w:divsChild>
        <w:div w:id="2017271268">
          <w:marLeft w:val="0"/>
          <w:marRight w:val="0"/>
          <w:marTop w:val="0"/>
          <w:marBottom w:val="0"/>
          <w:divBdr>
            <w:top w:val="none" w:sz="0" w:space="0" w:color="auto"/>
            <w:left w:val="none" w:sz="0" w:space="0" w:color="auto"/>
            <w:bottom w:val="none" w:sz="0" w:space="0" w:color="auto"/>
            <w:right w:val="none" w:sz="0" w:space="0" w:color="auto"/>
          </w:divBdr>
          <w:divsChild>
            <w:div w:id="20616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9068">
      <w:bodyDiv w:val="1"/>
      <w:marLeft w:val="0"/>
      <w:marRight w:val="0"/>
      <w:marTop w:val="0"/>
      <w:marBottom w:val="0"/>
      <w:divBdr>
        <w:top w:val="none" w:sz="0" w:space="0" w:color="auto"/>
        <w:left w:val="none" w:sz="0" w:space="0" w:color="auto"/>
        <w:bottom w:val="none" w:sz="0" w:space="0" w:color="auto"/>
        <w:right w:val="none" w:sz="0" w:space="0" w:color="auto"/>
      </w:divBdr>
      <w:divsChild>
        <w:div w:id="1023172847">
          <w:marLeft w:val="0"/>
          <w:marRight w:val="0"/>
          <w:marTop w:val="0"/>
          <w:marBottom w:val="0"/>
          <w:divBdr>
            <w:top w:val="none" w:sz="0" w:space="0" w:color="auto"/>
            <w:left w:val="none" w:sz="0" w:space="0" w:color="auto"/>
            <w:bottom w:val="none" w:sz="0" w:space="0" w:color="auto"/>
            <w:right w:val="none" w:sz="0" w:space="0" w:color="auto"/>
          </w:divBdr>
          <w:divsChild>
            <w:div w:id="662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69764">
      <w:bodyDiv w:val="1"/>
      <w:marLeft w:val="0"/>
      <w:marRight w:val="0"/>
      <w:marTop w:val="0"/>
      <w:marBottom w:val="0"/>
      <w:divBdr>
        <w:top w:val="none" w:sz="0" w:space="0" w:color="auto"/>
        <w:left w:val="none" w:sz="0" w:space="0" w:color="auto"/>
        <w:bottom w:val="none" w:sz="0" w:space="0" w:color="auto"/>
        <w:right w:val="none" w:sz="0" w:space="0" w:color="auto"/>
      </w:divBdr>
      <w:divsChild>
        <w:div w:id="2052877178">
          <w:marLeft w:val="0"/>
          <w:marRight w:val="0"/>
          <w:marTop w:val="0"/>
          <w:marBottom w:val="0"/>
          <w:divBdr>
            <w:top w:val="none" w:sz="0" w:space="0" w:color="auto"/>
            <w:left w:val="none" w:sz="0" w:space="0" w:color="auto"/>
            <w:bottom w:val="none" w:sz="0" w:space="0" w:color="auto"/>
            <w:right w:val="none" w:sz="0" w:space="0" w:color="auto"/>
          </w:divBdr>
          <w:divsChild>
            <w:div w:id="83218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5075">
      <w:bodyDiv w:val="1"/>
      <w:marLeft w:val="0"/>
      <w:marRight w:val="0"/>
      <w:marTop w:val="0"/>
      <w:marBottom w:val="0"/>
      <w:divBdr>
        <w:top w:val="none" w:sz="0" w:space="0" w:color="auto"/>
        <w:left w:val="none" w:sz="0" w:space="0" w:color="auto"/>
        <w:bottom w:val="none" w:sz="0" w:space="0" w:color="auto"/>
        <w:right w:val="none" w:sz="0" w:space="0" w:color="auto"/>
      </w:divBdr>
      <w:divsChild>
        <w:div w:id="790442373">
          <w:marLeft w:val="0"/>
          <w:marRight w:val="0"/>
          <w:marTop w:val="0"/>
          <w:marBottom w:val="0"/>
          <w:divBdr>
            <w:top w:val="none" w:sz="0" w:space="0" w:color="auto"/>
            <w:left w:val="none" w:sz="0" w:space="0" w:color="auto"/>
            <w:bottom w:val="none" w:sz="0" w:space="0" w:color="auto"/>
            <w:right w:val="none" w:sz="0" w:space="0" w:color="auto"/>
          </w:divBdr>
          <w:divsChild>
            <w:div w:id="3119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3118">
      <w:bodyDiv w:val="1"/>
      <w:marLeft w:val="0"/>
      <w:marRight w:val="0"/>
      <w:marTop w:val="0"/>
      <w:marBottom w:val="0"/>
      <w:divBdr>
        <w:top w:val="none" w:sz="0" w:space="0" w:color="auto"/>
        <w:left w:val="none" w:sz="0" w:space="0" w:color="auto"/>
        <w:bottom w:val="none" w:sz="0" w:space="0" w:color="auto"/>
        <w:right w:val="none" w:sz="0" w:space="0" w:color="auto"/>
      </w:divBdr>
      <w:divsChild>
        <w:div w:id="2042315984">
          <w:marLeft w:val="0"/>
          <w:marRight w:val="0"/>
          <w:marTop w:val="0"/>
          <w:marBottom w:val="0"/>
          <w:divBdr>
            <w:top w:val="none" w:sz="0" w:space="0" w:color="auto"/>
            <w:left w:val="none" w:sz="0" w:space="0" w:color="auto"/>
            <w:bottom w:val="none" w:sz="0" w:space="0" w:color="auto"/>
            <w:right w:val="none" w:sz="0" w:space="0" w:color="auto"/>
          </w:divBdr>
          <w:divsChild>
            <w:div w:id="175481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8180">
      <w:bodyDiv w:val="1"/>
      <w:marLeft w:val="0"/>
      <w:marRight w:val="0"/>
      <w:marTop w:val="0"/>
      <w:marBottom w:val="0"/>
      <w:divBdr>
        <w:top w:val="none" w:sz="0" w:space="0" w:color="auto"/>
        <w:left w:val="none" w:sz="0" w:space="0" w:color="auto"/>
        <w:bottom w:val="none" w:sz="0" w:space="0" w:color="auto"/>
        <w:right w:val="none" w:sz="0" w:space="0" w:color="auto"/>
      </w:divBdr>
      <w:divsChild>
        <w:div w:id="1064177001">
          <w:marLeft w:val="0"/>
          <w:marRight w:val="0"/>
          <w:marTop w:val="0"/>
          <w:marBottom w:val="0"/>
          <w:divBdr>
            <w:top w:val="none" w:sz="0" w:space="0" w:color="auto"/>
            <w:left w:val="none" w:sz="0" w:space="0" w:color="auto"/>
            <w:bottom w:val="none" w:sz="0" w:space="0" w:color="auto"/>
            <w:right w:val="none" w:sz="0" w:space="0" w:color="auto"/>
          </w:divBdr>
          <w:divsChild>
            <w:div w:id="1652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hyperlink" Target="http://invest.ecoinformatics.org" TargetMode="External"/><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hyperlink" Target="http://invest.ecoinformatics.org" TargetMode="External"/><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2.wmf"/><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27</Pages>
  <Words>7152</Words>
  <Characters>40770</Characters>
  <Application>Microsoft Office Word</Application>
  <DocSecurity>0</DocSecurity>
  <Lines>339</Lines>
  <Paragraphs>95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1) Summary</vt:lpstr>
      <vt:lpstr>The risk of human activities is a function of the habitat’s exposure to the acti</vt:lpstr>
      <vt:lpstr>The habitat quality model produces maps that display the relative risk and impac</vt:lpstr>
      <vt:lpstr>    </vt:lpstr>
      <vt:lpstr>    3) How it works</vt:lpstr>
      <vt:lpstr>    3.2) Limitations and Simplifications</vt:lpstr>
      <vt:lpstr>    Limitations:</vt:lpstr>
      <vt:lpstr>    1. Results are limited by data quality:  The accuracy of the results is limited </vt:lpstr>
      <vt:lpstr>    2. Results should be interpreted on a relative scale: Due to the nature of the s</vt:lpstr>
    </vt:vector>
  </TitlesOfParts>
  <Company>Stanford University</Company>
  <LinksUpToDate>false</LinksUpToDate>
  <CharactersWithSpaces>47827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Bernhardt, Joey</dc:creator>
  <cp:keywords/>
  <cp:lastModifiedBy>Gregg Verutes</cp:lastModifiedBy>
  <cp:revision>11</cp:revision>
  <dcterms:created xsi:type="dcterms:W3CDTF">2011-05-09T08:52:00Z</dcterms:created>
  <dcterms:modified xsi:type="dcterms:W3CDTF">2011-05-09T17:05:00Z</dcterms:modified>
</cp:coreProperties>
</file>