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8F" w:rsidRDefault="00DA218F" w:rsidP="00DA218F">
      <w:pPr>
        <w:pStyle w:val="Heading1"/>
        <w:tabs>
          <w:tab w:val="left" w:pos="0"/>
        </w:tabs>
        <w:suppressAutoHyphens/>
        <w:spacing w:line="276" w:lineRule="auto"/>
        <w:jc w:val="center"/>
        <w:rPr>
          <w:rFonts w:ascii="Perpetua Titling MT" w:hAnsi="Perpetua Titling MT"/>
          <w:sz w:val="48"/>
          <w:szCs w:val="48"/>
        </w:rPr>
      </w:pPr>
      <w:bookmarkStart w:id="0" w:name="_Toc158980614"/>
      <w:r w:rsidRPr="006119B7">
        <w:rPr>
          <w:rFonts w:ascii="Perpetua Titling MT" w:hAnsi="Perpetua Titling MT"/>
          <w:sz w:val="48"/>
          <w:szCs w:val="48"/>
        </w:rPr>
        <w:t>Managed Timber Production Model</w:t>
      </w:r>
      <w:bookmarkEnd w:id="0"/>
    </w:p>
    <w:p w:rsidR="00DA218F" w:rsidRDefault="00DA218F" w:rsidP="00DA218F"/>
    <w:p w:rsidR="00DA218F" w:rsidRDefault="00DA218F" w:rsidP="00DA218F"/>
    <w:p w:rsidR="00DA218F" w:rsidRDefault="00DA218F" w:rsidP="00DA218F"/>
    <w:p w:rsidR="00DA218F" w:rsidRPr="006119B7" w:rsidRDefault="00DA218F" w:rsidP="00DA218F"/>
    <w:p w:rsidR="00DA218F" w:rsidRPr="00263B7B" w:rsidRDefault="00DA218F" w:rsidP="00DA218F">
      <w:pPr>
        <w:ind w:hanging="187"/>
        <w:rPr>
          <w:rFonts w:ascii="Cambria" w:hAnsi="Cambria"/>
          <w:b/>
          <w:bCs/>
          <w:i/>
          <w:iCs/>
          <w:sz w:val="28"/>
          <w:szCs w:val="28"/>
        </w:rPr>
      </w:pPr>
      <w:bookmarkStart w:id="1" w:name="_toc1286"/>
      <w:bookmarkEnd w:id="1"/>
      <w:r>
        <w:rPr>
          <w:rFonts w:ascii="Cambria" w:hAnsi="Cambria"/>
          <w:b/>
          <w:bCs/>
          <w:i/>
          <w:iCs/>
          <w:noProof/>
          <w:sz w:val="28"/>
          <w:szCs w:val="28"/>
        </w:rPr>
        <w:drawing>
          <wp:anchor distT="12192" distB="16256" distL="118745" distR="119761" simplePos="0" relativeHeight="251663360" behindDoc="0" locked="0" layoutInCell="1" allowOverlap="1">
            <wp:simplePos x="0" y="0"/>
            <wp:positionH relativeFrom="column">
              <wp:posOffset>4631055</wp:posOffset>
            </wp:positionH>
            <wp:positionV relativeFrom="page">
              <wp:posOffset>3200400</wp:posOffset>
            </wp:positionV>
            <wp:extent cx="1463040" cy="1600200"/>
            <wp:effectExtent l="25400" t="0" r="10160" b="0"/>
            <wp:wrapTight wrapText="bothSides">
              <wp:wrapPolygon edited="0">
                <wp:start x="-375" y="0"/>
                <wp:lineTo x="-375" y="21257"/>
                <wp:lineTo x="21750" y="21257"/>
                <wp:lineTo x="21750" y="0"/>
                <wp:lineTo x="-375" y="0"/>
              </wp:wrapPolygon>
            </wp:wrapTight>
            <wp:docPr id="1183" name="Picture 1183" descr=":::Pictures:Owens Valley, CA:Bristlecone Woo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3" descr=":::Pictures:Owens Valley, CA:Bristlecone Wood.JPG"/>
                    <pic:cNvPicPr>
                      <a:picLocks noChangeArrowheads="1"/>
                    </pic:cNvPicPr>
                  </pic:nvPicPr>
                  <pic:blipFill>
                    <a:blip r:embed="rId5" cstate="print"/>
                    <a:srcRect/>
                    <a:stretch>
                      <a:fillRect/>
                    </a:stretch>
                  </pic:blipFill>
                  <pic:spPr bwMode="auto">
                    <a:xfrm>
                      <a:off x="0" y="0"/>
                      <a:ext cx="1463040" cy="1600200"/>
                    </a:xfrm>
                    <a:prstGeom prst="rect">
                      <a:avLst/>
                    </a:prstGeom>
                    <a:noFill/>
                  </pic:spPr>
                </pic:pic>
              </a:graphicData>
            </a:graphic>
          </wp:anchor>
        </w:drawing>
      </w:r>
      <w:r w:rsidRPr="00263B7B">
        <w:rPr>
          <w:rFonts w:ascii="Cambria" w:hAnsi="Cambria"/>
          <w:b/>
          <w:bCs/>
          <w:i/>
          <w:iCs/>
          <w:sz w:val="28"/>
          <w:szCs w:val="28"/>
        </w:rPr>
        <w:t>Summary</w:t>
      </w:r>
    </w:p>
    <w:p w:rsidR="00DA218F" w:rsidRDefault="00DA218F" w:rsidP="00DA218F">
      <w:pPr>
        <w:jc w:val="both"/>
      </w:pPr>
      <w:r>
        <w:t xml:space="preserve">An important ecosystem service provided by forests is the production of timber. </w:t>
      </w:r>
      <w:r w:rsidRPr="00D30F04">
        <w:t>This model analyze</w:t>
      </w:r>
      <w:r>
        <w:t>s</w:t>
      </w:r>
      <w:r w:rsidRPr="00D30F04">
        <w:t xml:space="preserve"> the</w:t>
      </w:r>
      <w:r>
        <w:t xml:space="preserve"> </w:t>
      </w:r>
      <w:r w:rsidRPr="00D30F04">
        <w:t xml:space="preserve">amount </w:t>
      </w:r>
      <w:r>
        <w:t xml:space="preserve">and volume </w:t>
      </w:r>
      <w:r w:rsidRPr="00D30F04">
        <w:t xml:space="preserve">of </w:t>
      </w:r>
      <w:r>
        <w:t xml:space="preserve">legally </w:t>
      </w:r>
      <w:r w:rsidRPr="00D30F04">
        <w:t xml:space="preserve">harvested </w:t>
      </w:r>
      <w:r>
        <w:t>timber from natural forests and managed</w:t>
      </w:r>
      <w:r w:rsidRPr="00D30F04">
        <w:t xml:space="preserve"> </w:t>
      </w:r>
      <w:r>
        <w:t xml:space="preserve">plantations based on harvest level and cycle. The valuation model estimates the economic value of timber based on the market price, harvest and management costs and a discount rate.  </w:t>
      </w:r>
      <w:proofErr w:type="gramStart"/>
      <w:r w:rsidRPr="00D30F04">
        <w:t>and</w:t>
      </w:r>
      <w:proofErr w:type="gramEnd"/>
      <w:r w:rsidRPr="00D30F04">
        <w:t xml:space="preserve"> calculate</w:t>
      </w:r>
      <w:r>
        <w:t>s</w:t>
      </w:r>
      <w:r w:rsidRPr="00D30F04">
        <w:t xml:space="preserve"> </w:t>
      </w:r>
      <w:r>
        <w:t xml:space="preserve">its </w:t>
      </w:r>
      <w:r w:rsidRPr="00D30F04">
        <w:t>economic value</w:t>
      </w:r>
      <w:r>
        <w:t>. L</w:t>
      </w:r>
      <w:r w:rsidRPr="00D30F04">
        <w:t xml:space="preserve">imitations </w:t>
      </w:r>
      <w:r>
        <w:t xml:space="preserve">of the model </w:t>
      </w:r>
      <w:r w:rsidRPr="00D30F04">
        <w:t>include assumption</w:t>
      </w:r>
      <w:r>
        <w:t>s</w:t>
      </w:r>
      <w:r w:rsidRPr="00D30F04">
        <w:t xml:space="preserve"> that timber harvest production, frequency, prices, and costs </w:t>
      </w:r>
      <w:r>
        <w:t>are</w:t>
      </w:r>
      <w:r w:rsidRPr="00D30F04">
        <w:t xml:space="preserve"> constant</w:t>
      </w:r>
      <w:r>
        <w:t xml:space="preserve"> over time</w:t>
      </w:r>
      <w:r w:rsidRPr="00D30F04">
        <w:t>.</w:t>
      </w:r>
    </w:p>
    <w:p w:rsidR="00DA218F" w:rsidRDefault="00DA218F" w:rsidP="00DA218F"/>
    <w:p w:rsidR="00DA218F" w:rsidRPr="00F940CF" w:rsidRDefault="00DA218F" w:rsidP="00DA218F">
      <w:pPr>
        <w:tabs>
          <w:tab w:val="left" w:pos="630"/>
          <w:tab w:val="left" w:pos="11880"/>
        </w:tabs>
        <w:jc w:val="both"/>
        <w:rPr>
          <w:i/>
        </w:rPr>
      </w:pPr>
    </w:p>
    <w:p w:rsidR="00DA218F" w:rsidRDefault="00DA218F" w:rsidP="00DA218F">
      <w:pPr>
        <w:pStyle w:val="Heading2"/>
        <w:ind w:left="-270"/>
        <w:jc w:val="both"/>
        <w:rPr>
          <w:rFonts w:ascii="Cambria" w:hAnsi="Cambria"/>
        </w:rPr>
      </w:pPr>
    </w:p>
    <w:p w:rsidR="00DA218F" w:rsidRPr="00BB58F3" w:rsidRDefault="00DA218F" w:rsidP="00DA218F">
      <w:pPr>
        <w:pStyle w:val="Heading2"/>
        <w:ind w:left="-270"/>
        <w:jc w:val="both"/>
        <w:rPr>
          <w:rFonts w:ascii="Cambria" w:hAnsi="Cambria"/>
        </w:rPr>
      </w:pPr>
      <w:bookmarkStart w:id="2" w:name="_Toc158980615"/>
      <w:r w:rsidRPr="00BB58F3">
        <w:rPr>
          <w:rFonts w:ascii="Cambria" w:hAnsi="Cambria"/>
        </w:rPr>
        <w:t>Introduction</w:t>
      </w:r>
      <w:bookmarkEnd w:id="2"/>
    </w:p>
    <w:p w:rsidR="00DA218F" w:rsidRDefault="00DA218F" w:rsidP="00DA218F">
      <w:pPr>
        <w:pStyle w:val="Heading3"/>
        <w:spacing w:before="0" w:after="0"/>
        <w:jc w:val="both"/>
        <w:rPr>
          <w:rFonts w:ascii="Times New Roman" w:hAnsi="Times New Roman"/>
          <w:b w:val="0"/>
          <w:sz w:val="24"/>
        </w:rPr>
      </w:pPr>
      <w:bookmarkStart w:id="3" w:name="_Toc122865236"/>
      <w:bookmarkStart w:id="4" w:name="_Toc122865335"/>
      <w:bookmarkStart w:id="5" w:name="_Toc122956783"/>
      <w:bookmarkStart w:id="6" w:name="_Toc122970691"/>
      <w:bookmarkStart w:id="7" w:name="_Toc122971225"/>
      <w:bookmarkStart w:id="8" w:name="_Toc122971567"/>
      <w:bookmarkStart w:id="9" w:name="_Toc122971677"/>
      <w:bookmarkStart w:id="10" w:name="_Toc122705416"/>
    </w:p>
    <w:p w:rsidR="00DA218F" w:rsidRPr="00263B7B" w:rsidRDefault="00DA218F" w:rsidP="00DA218F">
      <w:pPr>
        <w:jc w:val="both"/>
      </w:pPr>
      <w:r w:rsidRPr="00263B7B">
        <w:t>Commercial timber production is a valuable commodity provided by forests, with the potential to generate significant revenue for those with legal rights to harvest. The scale and nature of timber production varies from large privately-operated single-species plantations to small community-managed harvests from natural forest that retains its ecological structure and function. Whether timber production occurs on a managed plantation or a natural forest, managing the intensity and rate of timber harvest is critical to sustaining this service, as well as the supply and value of other services provided by forests, such as water purification, carbon sequestration, and bush meat habitat. M</w:t>
      </w:r>
      <w:bookmarkStart w:id="11" w:name="_Toc122865237"/>
      <w:bookmarkStart w:id="12" w:name="_Toc122865336"/>
      <w:bookmarkStart w:id="13" w:name="_Toc122956784"/>
      <w:bookmarkStart w:id="14" w:name="_Toc122970692"/>
      <w:bookmarkStart w:id="15" w:name="_Toc122971226"/>
      <w:bookmarkStart w:id="16" w:name="_Toc122971568"/>
      <w:bookmarkStart w:id="17" w:name="_Toc122971678"/>
      <w:bookmarkEnd w:id="3"/>
      <w:bookmarkEnd w:id="4"/>
      <w:bookmarkEnd w:id="5"/>
      <w:bookmarkEnd w:id="6"/>
      <w:bookmarkEnd w:id="7"/>
      <w:bookmarkEnd w:id="8"/>
      <w:bookmarkEnd w:id="9"/>
      <w:r w:rsidRPr="00263B7B">
        <w:t>aximizing profits requires information about the volume and species of wood removed in each harvest period, timber prices, and management costs.</w:t>
      </w:r>
      <w:bookmarkEnd w:id="10"/>
      <w:bookmarkEnd w:id="11"/>
      <w:bookmarkEnd w:id="12"/>
      <w:bookmarkEnd w:id="13"/>
      <w:bookmarkEnd w:id="14"/>
      <w:bookmarkEnd w:id="15"/>
      <w:bookmarkEnd w:id="16"/>
      <w:bookmarkEnd w:id="17"/>
      <w:r w:rsidRPr="00263B7B">
        <w:t xml:space="preserve"> </w:t>
      </w:r>
    </w:p>
    <w:p w:rsidR="00DA218F" w:rsidRDefault="00DA218F" w:rsidP="00DA218F">
      <w:pPr>
        <w:pStyle w:val="Heading2"/>
        <w:ind w:left="-270"/>
        <w:jc w:val="both"/>
      </w:pPr>
    </w:p>
    <w:p w:rsidR="00DA218F" w:rsidRPr="00BB58F3" w:rsidRDefault="00DA218F" w:rsidP="00DA218F">
      <w:pPr>
        <w:pStyle w:val="Heading2"/>
        <w:ind w:left="-270"/>
        <w:jc w:val="both"/>
        <w:rPr>
          <w:rFonts w:ascii="Cambria" w:hAnsi="Cambria"/>
        </w:rPr>
      </w:pPr>
      <w:bookmarkStart w:id="18" w:name="_toc1291"/>
      <w:bookmarkStart w:id="19" w:name="_Toc158980616"/>
      <w:bookmarkEnd w:id="18"/>
      <w:r w:rsidRPr="00BB58F3">
        <w:rPr>
          <w:rFonts w:ascii="Cambria" w:hAnsi="Cambria"/>
        </w:rPr>
        <w:t xml:space="preserve">The </w:t>
      </w:r>
      <w:r>
        <w:rPr>
          <w:rFonts w:ascii="Cambria" w:hAnsi="Cambria"/>
        </w:rPr>
        <w:t>M</w:t>
      </w:r>
      <w:r w:rsidRPr="00BB58F3">
        <w:rPr>
          <w:rFonts w:ascii="Cambria" w:hAnsi="Cambria"/>
        </w:rPr>
        <w:t>odel</w:t>
      </w:r>
      <w:bookmarkEnd w:id="19"/>
    </w:p>
    <w:p w:rsidR="00DA218F" w:rsidRDefault="00DA218F" w:rsidP="00DA218F">
      <w:pPr>
        <w:jc w:val="both"/>
      </w:pPr>
    </w:p>
    <w:p w:rsidR="00DA218F" w:rsidRDefault="00DA218F" w:rsidP="00DA218F">
      <w:pPr>
        <w:jc w:val="both"/>
      </w:pPr>
      <w:r>
        <w:t xml:space="preserve">The model is designed for cases where an entity (e.g., a government, a tribe, a community, a private timber company) has a formally recognized right to harvest </w:t>
      </w:r>
      <w:r w:rsidRPr="00070C70">
        <w:rPr>
          <w:i/>
        </w:rPr>
        <w:t>roundwood</w:t>
      </w:r>
      <w:r>
        <w:t xml:space="preserve"> from a forest.  According to FAOSTAT (</w:t>
      </w:r>
      <w:hyperlink r:id="rId6" w:history="1">
        <w:r w:rsidRPr="0076586D">
          <w:rPr>
            <w:rStyle w:val="Hyperlink"/>
          </w:rPr>
          <w:t>http://faostat.fao.org/</w:t>
        </w:r>
      </w:hyperlink>
      <w:r>
        <w:t>), roundwood is w</w:t>
      </w:r>
      <w:r w:rsidRPr="003022F3">
        <w:t xml:space="preserve">ood in its natural state as </w:t>
      </w:r>
      <w:proofErr w:type="gramStart"/>
      <w:r w:rsidRPr="003022F3">
        <w:t>felled,</w:t>
      </w:r>
      <w:proofErr w:type="gramEnd"/>
      <w:r w:rsidRPr="003022F3">
        <w:t xml:space="preserve"> or otherwise harvested, with or without bark, round, split, roughly squared or </w:t>
      </w:r>
      <w:r>
        <w:t xml:space="preserve">in </w:t>
      </w:r>
      <w:r w:rsidRPr="003022F3">
        <w:t>other forms</w:t>
      </w:r>
      <w:r>
        <w:t xml:space="preserve">. </w:t>
      </w:r>
      <w:r w:rsidRPr="003022F3">
        <w:t xml:space="preserve">It comprises </w:t>
      </w:r>
      <w:r>
        <w:t xml:space="preserve">all wood obtained from removals. This model’s output maps the net present values of forests’ legally recognized harvests over some user-defined time interval. This model is very </w:t>
      </w:r>
      <w:r>
        <w:lastRenderedPageBreak/>
        <w:t xml:space="preserve">simple and designed for cases where little data on harvest practices and tree stand management exists. If you have access to detailed harvest and forest management data, you may want to use an alternative model. </w:t>
      </w:r>
    </w:p>
    <w:p w:rsidR="00DA218F" w:rsidRDefault="00DA218F" w:rsidP="00DA218F">
      <w:pPr>
        <w:jc w:val="both"/>
      </w:pPr>
    </w:p>
    <w:p w:rsidR="00DA218F" w:rsidRPr="009065B8" w:rsidRDefault="00DA218F" w:rsidP="00DA218F">
      <w:pPr>
        <w:jc w:val="both"/>
        <w:rPr>
          <w:bCs/>
        </w:rPr>
      </w:pPr>
      <w:r>
        <w:t xml:space="preserve">Timber harvest by entities that do not have a formally recognized harvesting right is not accounted for in this model. This type of wood harvest, whether it is illegal or occurs in forest areas where property rights are either not defined or not well enforced, is dealt with in the </w:t>
      </w:r>
      <w:r w:rsidRPr="009065B8">
        <w:rPr>
          <w:bCs/>
        </w:rPr>
        <w:t xml:space="preserve">Open Access Timber and Non-Timber Products Model (to be released soon).   </w:t>
      </w:r>
    </w:p>
    <w:p w:rsidR="00DA218F" w:rsidRDefault="00DA218F" w:rsidP="00DA218F">
      <w:pPr>
        <w:pStyle w:val="Heading3"/>
        <w:spacing w:before="0" w:after="0"/>
        <w:jc w:val="both"/>
        <w:rPr>
          <w:rFonts w:ascii="Cambria" w:hAnsi="Cambria"/>
        </w:rPr>
      </w:pPr>
      <w:bookmarkStart w:id="20" w:name="_toc1294"/>
      <w:bookmarkEnd w:id="20"/>
    </w:p>
    <w:p w:rsidR="00DA218F" w:rsidRPr="00BB58F3" w:rsidRDefault="00DA218F" w:rsidP="00DA218F">
      <w:pPr>
        <w:pStyle w:val="Heading3"/>
        <w:jc w:val="both"/>
        <w:rPr>
          <w:rFonts w:ascii="Cambria" w:hAnsi="Cambria"/>
        </w:rPr>
      </w:pPr>
      <w:bookmarkStart w:id="21" w:name="_Toc158980617"/>
      <w:r w:rsidRPr="00BB58F3">
        <w:rPr>
          <w:rFonts w:ascii="Cambria" w:hAnsi="Cambria"/>
        </w:rPr>
        <w:t xml:space="preserve">How </w:t>
      </w:r>
      <w:r>
        <w:rPr>
          <w:rFonts w:ascii="Cambria" w:hAnsi="Cambria"/>
        </w:rPr>
        <w:t>it</w:t>
      </w:r>
      <w:r w:rsidRPr="00BB58F3">
        <w:rPr>
          <w:rFonts w:ascii="Cambria" w:hAnsi="Cambria"/>
        </w:rPr>
        <w:t xml:space="preserve"> works</w:t>
      </w:r>
      <w:bookmarkEnd w:id="21"/>
      <w:r w:rsidRPr="00BB58F3">
        <w:rPr>
          <w:rFonts w:ascii="Cambria" w:hAnsi="Cambria"/>
        </w:rPr>
        <w:t xml:space="preserve"> </w:t>
      </w:r>
    </w:p>
    <w:p w:rsidR="00DA218F" w:rsidRPr="009065B8" w:rsidRDefault="00DA218F" w:rsidP="00DA218F">
      <w:pPr>
        <w:jc w:val="both"/>
      </w:pPr>
      <w:r w:rsidRPr="003271CF">
        <w:t xml:space="preserve">This model </w:t>
      </w:r>
      <w:r>
        <w:t xml:space="preserve">can be used in one </w:t>
      </w:r>
      <w:r w:rsidRPr="009065B8">
        <w:t>of two ways. First, it can be used to model the expected value of a stream of harvests from a forest plantation over a user-defined time interval. A forest plantation is typically managed in such a way that merchantable or usable wood can be harvested at regular periods over an indefinite period. Three characteristics of a plantation forest are: 1) species mix has been reduced to a single or a few of the fastest growing species; 2) the oldest wood in the plantation is harvested and the rest of the wood is left to mature; 3) the areas of a plantation that have been clear-cut are replanted with the managed species soon after the clear-cut; and 4) a more or less even distribution of tree ages (e.g., if the oldest trees in the stand are 20 years old, a quarter of the stand is 1-5 year old, a quarter of the stand is 6-10 years old, a quarter of the stand is 11-15 years old, and a quarter of the stand is 16-20 years old).</w:t>
      </w:r>
    </w:p>
    <w:p w:rsidR="00DA218F" w:rsidRPr="009065B8" w:rsidRDefault="00DA218F" w:rsidP="00DA218F">
      <w:pPr>
        <w:jc w:val="both"/>
      </w:pPr>
      <w:r w:rsidRPr="009065B8">
        <w:t xml:space="preserve">  </w:t>
      </w:r>
    </w:p>
    <w:p w:rsidR="00DA218F" w:rsidRPr="003271CF" w:rsidRDefault="00DA218F" w:rsidP="00DA218F">
      <w:pPr>
        <w:jc w:val="both"/>
      </w:pPr>
      <w:r w:rsidRPr="009065B8">
        <w:t>Second, the InVEST Managed Timber Production Model can be used to calculate the expected value of timber harvests from primary, natural forests. By prim</w:t>
      </w:r>
      <w:r>
        <w:t>ary, natural forests we mean areas that, at least at the beginning of a harvest cycle, retain much of their natural structure and function. These could include forests that, at least at the beginning of a harvest cycle, are being used by local communities and tribes for small-scale timber and non-timber forest product harvest. In some cases these forests may become subject to large scale timber harvest because they a</w:t>
      </w:r>
      <w:r w:rsidRPr="003271CF">
        <w:t xml:space="preserve">re </w:t>
      </w:r>
      <w:r>
        <w:t xml:space="preserve">to </w:t>
      </w:r>
      <w:r w:rsidRPr="003271CF">
        <w:t xml:space="preserve">transition to more managed </w:t>
      </w:r>
      <w:r>
        <w:t>forest</w:t>
      </w:r>
      <w:r w:rsidRPr="003271CF">
        <w:t xml:space="preserve">s </w:t>
      </w:r>
      <w:r>
        <w:t xml:space="preserve">(i.e., forest plantations as described above) </w:t>
      </w:r>
      <w:r w:rsidRPr="003271CF">
        <w:t xml:space="preserve">or some other non-forest development </w:t>
      </w:r>
      <w:r>
        <w:t xml:space="preserve">that requires a clear-cut, such as </w:t>
      </w:r>
      <w:r w:rsidRPr="003271CF">
        <w:t xml:space="preserve">agricultural </w:t>
      </w:r>
      <w:r>
        <w:t>or residential expansion</w:t>
      </w:r>
      <w:r w:rsidRPr="003271CF">
        <w:t>.</w:t>
      </w:r>
      <w:r>
        <w:t xml:space="preserve"> (This does not include forests that are slashed and burned, given that the felled and burned wood is not used to create a product). In other cases, concessions to clear-cut certain areas of a natural forest or selectively log a natural forest may be held by entities. In these cases an altered version of the natural forest would remain on the landscape into the future. Examples of this type of harvest include logging of rainforests in the Amazon or Malaysia for land conversion or in Indonesia to establish palm plantations, and selective clear-cutting of rainforests in Malaysia.       </w:t>
      </w:r>
      <w:r w:rsidRPr="003271CF">
        <w:t xml:space="preserve"> </w:t>
      </w:r>
    </w:p>
    <w:p w:rsidR="00DA218F" w:rsidRDefault="00DA218F" w:rsidP="00DA218F">
      <w:pPr>
        <w:jc w:val="both"/>
      </w:pPr>
    </w:p>
    <w:p w:rsidR="00DA218F" w:rsidRDefault="00DA218F" w:rsidP="00DA218F">
      <w:pPr>
        <w:jc w:val="both"/>
      </w:pPr>
      <w:r w:rsidRPr="00CD3ED6">
        <w:t xml:space="preserve">The model runs on a </w:t>
      </w:r>
      <w:r>
        <w:t xml:space="preserve">vector GIS dataset </w:t>
      </w:r>
      <w:r w:rsidRPr="00CD3ED6">
        <w:t xml:space="preserve">that </w:t>
      </w:r>
      <w:r>
        <w:t>maps</w:t>
      </w:r>
      <w:r w:rsidRPr="00CD3ED6">
        <w:t xml:space="preserve"> </w:t>
      </w:r>
      <w:r>
        <w:t>parcels on the landscape that are, or are expected to be, used for legal timber harvest over a user-defined time period. These timber parcels can include a whole forest or just part of a forest. In any case a parcel should only include the portion of a forest that is formally designated, zoned, or managed for harvest. E</w:t>
      </w:r>
      <w:r w:rsidRPr="00CD3ED6">
        <w:t>ach</w:t>
      </w:r>
      <w:r>
        <w:t xml:space="preserve"> timber harvest parcel is described by its </w:t>
      </w:r>
      <w:r w:rsidRPr="00CD3ED6">
        <w:t xml:space="preserve">harvest </w:t>
      </w:r>
      <w:r>
        <w:t>levels (</w:t>
      </w:r>
      <w:r w:rsidRPr="00E76AAC">
        <w:rPr>
          <w:i/>
        </w:rPr>
        <w:t>Harv_mass</w:t>
      </w:r>
      <w:r>
        <w:t xml:space="preserve"> and </w:t>
      </w:r>
      <w:r>
        <w:rPr>
          <w:i/>
        </w:rPr>
        <w:t>Perc_Harv</w:t>
      </w:r>
      <w:r>
        <w:t xml:space="preserve"> in the polygon attribute table; see below), frequency of harvest (</w:t>
      </w:r>
      <w:r w:rsidRPr="00E76AAC">
        <w:rPr>
          <w:i/>
        </w:rPr>
        <w:t>Freq_harv</w:t>
      </w:r>
      <w:r>
        <w:t>), and harvest and management (or maintenance) costs (</w:t>
      </w:r>
      <w:r w:rsidRPr="00E76AAC">
        <w:rPr>
          <w:i/>
        </w:rPr>
        <w:t xml:space="preserve">Harv_cost </w:t>
      </w:r>
      <w:r>
        <w:t xml:space="preserve">and </w:t>
      </w:r>
      <w:r w:rsidRPr="00E76AAC">
        <w:rPr>
          <w:i/>
        </w:rPr>
        <w:t>Ma</w:t>
      </w:r>
      <w:r>
        <w:rPr>
          <w:i/>
        </w:rPr>
        <w:t>int</w:t>
      </w:r>
      <w:r w:rsidRPr="00E76AAC">
        <w:rPr>
          <w:i/>
        </w:rPr>
        <w:t>_cost</w:t>
      </w:r>
      <w:r>
        <w:t xml:space="preserve">, respectively) (Fig. 1). </w:t>
      </w:r>
      <w:r w:rsidRPr="00CD3ED6">
        <w:t xml:space="preserve"> </w:t>
      </w:r>
    </w:p>
    <w:p w:rsidR="00DA218F" w:rsidRDefault="00DA218F" w:rsidP="00DA218F">
      <w:pPr>
        <w:jc w:val="both"/>
      </w:pPr>
    </w:p>
    <w:p w:rsidR="00DA218F" w:rsidRDefault="00DA218F" w:rsidP="00DA218F">
      <w:pPr>
        <w:jc w:val="both"/>
      </w:pPr>
      <w:r>
        <w:lastRenderedPageBreak/>
        <w:t xml:space="preserve">The timber parcel map can either be associated with a </w:t>
      </w:r>
      <w:r w:rsidRPr="00070C70">
        <w:rPr>
          <w:u w:val="single"/>
        </w:rPr>
        <w:t>c</w:t>
      </w:r>
      <w:r w:rsidRPr="00D51CB9">
        <w:t>urrent (sometimes referred to as “base”) LULC map used in most other InVEST models (where the year associated with the current LULC</w:t>
      </w:r>
    </w:p>
    <w:p w:rsidR="00DA218F" w:rsidRDefault="00DA218F" w:rsidP="00DA218F">
      <w:pPr>
        <w:jc w:val="both"/>
      </w:pPr>
      <w:r w:rsidRPr="00D51CB9">
        <w:t xml:space="preserve"> </w:t>
      </w:r>
    </w:p>
    <w:p w:rsidR="00DA218F" w:rsidRDefault="00DA218F" w:rsidP="00DA218F">
      <w:pPr>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95.75pt;margin-top:9.3pt;width:166.2pt;height:129.3pt;z-index:251664384;mso-height-percent:200;mso-height-percent:200;mso-width-relative:margin;mso-height-relative:margin" stroked="f">
            <v:textbox style="mso-next-textbox:#_x0000_s1026;mso-fit-shape-to-text:t">
              <w:txbxContent>
                <w:p w:rsidR="00DA218F" w:rsidRPr="002D3117" w:rsidRDefault="00DA218F" w:rsidP="00DA218F">
                  <w:pPr>
                    <w:jc w:val="center"/>
                    <w:rPr>
                      <w:b/>
                      <w:sz w:val="32"/>
                    </w:rPr>
                  </w:pPr>
                  <w:r w:rsidRPr="002D3117">
                    <w:rPr>
                      <w:b/>
                      <w:sz w:val="32"/>
                    </w:rPr>
                    <w:t>MODEL’S</w:t>
                  </w:r>
                </w:p>
                <w:p w:rsidR="00DA218F" w:rsidRPr="002D3117" w:rsidRDefault="00DA218F" w:rsidP="00DA218F">
                  <w:pPr>
                    <w:jc w:val="center"/>
                    <w:rPr>
                      <w:b/>
                      <w:sz w:val="32"/>
                    </w:rPr>
                  </w:pPr>
                  <w:r w:rsidRPr="002D3117">
                    <w:rPr>
                      <w:b/>
                      <w:sz w:val="32"/>
                    </w:rPr>
                    <w:t>CALCULATIONS</w:t>
                  </w:r>
                </w:p>
              </w:txbxContent>
            </v:textbox>
          </v:shape>
        </w:pict>
      </w:r>
      <w:r>
        <w:rPr>
          <w:noProof/>
          <w:bdr w:val="single" w:sz="12" w:space="0" w:color="E36C0A"/>
        </w:rPr>
        <w:drawing>
          <wp:inline distT="0" distB="0" distL="0" distR="0">
            <wp:extent cx="5943600" cy="4175760"/>
            <wp:effectExtent l="50800" t="25400" r="25400" b="15240"/>
            <wp:docPr id="352"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7" cstate="print"/>
                    <a:srcRect r="-926" b="-1920"/>
                    <a:stretch>
                      <a:fillRect/>
                    </a:stretch>
                  </pic:blipFill>
                  <pic:spPr bwMode="auto">
                    <a:xfrm>
                      <a:off x="0" y="0"/>
                      <a:ext cx="5943600" cy="4175760"/>
                    </a:xfrm>
                    <a:prstGeom prst="rect">
                      <a:avLst/>
                    </a:prstGeom>
                    <a:noFill/>
                    <a:ln w="19050" cmpd="sng">
                      <a:solidFill>
                        <a:srgbClr val="E36C0A"/>
                      </a:solidFill>
                      <a:miter lim="800000"/>
                      <a:headEnd/>
                      <a:tailEnd/>
                    </a:ln>
                    <a:effectLst/>
                  </pic:spPr>
                </pic:pic>
              </a:graphicData>
            </a:graphic>
          </wp:inline>
        </w:drawing>
      </w:r>
      <w:proofErr w:type="gramStart"/>
      <w:r w:rsidRPr="00D51CB9">
        <w:rPr>
          <w:b/>
          <w:bCs/>
        </w:rPr>
        <w:t>Figure 1.</w:t>
      </w:r>
      <w:proofErr w:type="gramEnd"/>
      <w:r>
        <w:t xml:space="preserve"> </w:t>
      </w:r>
      <w:proofErr w:type="gramStart"/>
      <w:r>
        <w:t>Conceptual diagram of the Managed Timber Production model.</w:t>
      </w:r>
      <w:proofErr w:type="gramEnd"/>
      <w:r>
        <w:t xml:space="preserve"> Parameters represented in color are included in the model, while those in gray are not.</w:t>
      </w:r>
    </w:p>
    <w:p w:rsidR="00DA218F" w:rsidRDefault="00DA218F" w:rsidP="00DA218F">
      <w:pPr>
        <w:jc w:val="both"/>
      </w:pPr>
    </w:p>
    <w:p w:rsidR="00DA218F" w:rsidRDefault="00DA218F" w:rsidP="00DA218F">
      <w:pPr>
        <w:jc w:val="both"/>
      </w:pPr>
      <w:proofErr w:type="gramStart"/>
      <w:r w:rsidRPr="00D51CB9">
        <w:t>map</w:t>
      </w:r>
      <w:proofErr w:type="gramEnd"/>
      <w:r w:rsidRPr="00D51CB9">
        <w:t xml:space="preserve"> is given by </w:t>
      </w:r>
      <w:r w:rsidRPr="00D51CB9">
        <w:rPr>
          <w:i/>
        </w:rPr>
        <w:t>yr_cur</w:t>
      </w:r>
      <w:r w:rsidRPr="00D51CB9">
        <w:t>) or with some future LULC scena</w:t>
      </w:r>
      <w:r>
        <w:t xml:space="preserve">rio map (where the year associated with the future LULC map is given by </w:t>
      </w:r>
      <w:r w:rsidRPr="008B621F">
        <w:rPr>
          <w:i/>
        </w:rPr>
        <w:t>yr_</w:t>
      </w:r>
      <w:r>
        <w:rPr>
          <w:i/>
        </w:rPr>
        <w:t>fut</w:t>
      </w:r>
      <w:r>
        <w:t>). If the timber parcel map is associated with the current</w:t>
      </w:r>
    </w:p>
    <w:p w:rsidR="00DA218F" w:rsidRPr="00026746" w:rsidRDefault="00DA218F" w:rsidP="00DA218F">
      <w:pPr>
        <w:jc w:val="both"/>
      </w:pPr>
      <w:r>
        <w:t xml:space="preserve">LULC map the model calculates, for each timber parcel, the net present value (NPV) of harvests that occurred between </w:t>
      </w:r>
      <w:r w:rsidRPr="00D51CB9">
        <w:rPr>
          <w:iCs/>
        </w:rPr>
        <w:t xml:space="preserve">the current year </w:t>
      </w:r>
      <w:r>
        <w:t xml:space="preserve">and some user-defined date, </w:t>
      </w:r>
      <w:r w:rsidRPr="00CD3ED6">
        <w:t xml:space="preserve">assuming that harvest practices </w:t>
      </w:r>
      <w:r>
        <w:t xml:space="preserve">and prices are static over the time interval modeledl. If the timber parcel map is associated with a future scenario LULC map the model calculates, for each timber parcel, the NPV of harvests that occurred </w:t>
      </w:r>
      <w:proofErr w:type="gramStart"/>
      <w:r>
        <w:t>between  the</w:t>
      </w:r>
      <w:proofErr w:type="gramEnd"/>
      <w:r>
        <w:t xml:space="preserve"> future date and some user-defined date, again </w:t>
      </w:r>
      <w:r w:rsidRPr="00CD3ED6">
        <w:t xml:space="preserve">assuming that harvest practices </w:t>
      </w:r>
      <w:r>
        <w:t xml:space="preserve">and prices do </w:t>
      </w:r>
      <w:r w:rsidRPr="00CD3ED6">
        <w:t xml:space="preserve">not change </w:t>
      </w:r>
      <w:r>
        <w:t xml:space="preserve">over the user-defined time interval. The model produces the NPV of harvests in the currency of either the current year or future year, depending on whether the user inputs a current or future LULC map. For example, if </w:t>
      </w:r>
      <w:r w:rsidRPr="00D51CB9">
        <w:rPr>
          <w:iCs/>
        </w:rPr>
        <w:t xml:space="preserve">the selected year for the future scenario </w:t>
      </w:r>
      <w:r>
        <w:t xml:space="preserve">is 2050 and the dollar is the currency used to value timber harvests, then the NPV of harvests from </w:t>
      </w:r>
      <w:r w:rsidRPr="00D51CB9">
        <w:rPr>
          <w:iCs/>
        </w:rPr>
        <w:t>2050</w:t>
      </w:r>
      <w:r>
        <w:rPr>
          <w:i/>
        </w:rPr>
        <w:t xml:space="preserve"> </w:t>
      </w:r>
      <w:r>
        <w:t xml:space="preserve">to some user-defined later than </w:t>
      </w:r>
      <w:r w:rsidRPr="00D51CB9">
        <w:rPr>
          <w:iCs/>
        </w:rPr>
        <w:t>2050</w:t>
      </w:r>
      <w:r>
        <w:t xml:space="preserve"> is given in year 2050 dollars.  </w:t>
      </w:r>
    </w:p>
    <w:p w:rsidR="00DA218F" w:rsidRDefault="00DA218F" w:rsidP="00DA218F">
      <w:pPr>
        <w:pStyle w:val="Heading3"/>
        <w:ind w:left="-180"/>
        <w:jc w:val="both"/>
        <w:rPr>
          <w:rFonts w:ascii="Cambria" w:hAnsi="Cambria"/>
        </w:rPr>
      </w:pPr>
      <w:bookmarkStart w:id="22" w:name="_toc1296"/>
      <w:bookmarkEnd w:id="22"/>
    </w:p>
    <w:p w:rsidR="00DA218F" w:rsidRDefault="00DA218F" w:rsidP="00DA218F">
      <w:pPr>
        <w:pStyle w:val="Heading3"/>
        <w:ind w:left="-180"/>
        <w:jc w:val="both"/>
        <w:rPr>
          <w:rFonts w:ascii="Cambria" w:hAnsi="Cambria"/>
        </w:rPr>
      </w:pPr>
      <w:bookmarkStart w:id="23" w:name="_Toc158980618"/>
      <w:r w:rsidRPr="00233D72">
        <w:rPr>
          <w:rFonts w:ascii="Cambria" w:hAnsi="Cambria"/>
        </w:rPr>
        <w:t>Limitations and simplifications</w:t>
      </w:r>
      <w:bookmarkEnd w:id="23"/>
      <w:r w:rsidRPr="00233D72">
        <w:rPr>
          <w:rFonts w:ascii="Cambria" w:hAnsi="Cambria"/>
        </w:rPr>
        <w:t xml:space="preserve"> </w:t>
      </w:r>
    </w:p>
    <w:p w:rsidR="00DA218F" w:rsidRPr="009B0054" w:rsidRDefault="00DA218F" w:rsidP="00DA218F">
      <w:pPr>
        <w:rPr>
          <w:sz w:val="16"/>
        </w:rPr>
      </w:pPr>
      <w:r w:rsidRPr="009B0054">
        <w:rPr>
          <w:sz w:val="16"/>
        </w:rPr>
        <w:t xml:space="preserve"> </w:t>
      </w:r>
    </w:p>
    <w:p w:rsidR="00DA218F" w:rsidRDefault="00DA218F" w:rsidP="00DA218F">
      <w:pPr>
        <w:jc w:val="both"/>
      </w:pPr>
      <w:r>
        <w:t>This</w:t>
      </w:r>
      <w:r w:rsidRPr="00DD36C5">
        <w:t xml:space="preserve"> model assumes that</w:t>
      </w:r>
      <w:r>
        <w:t xml:space="preserve"> the percent of the forest harvested each harvest period, the mass</w:t>
      </w:r>
      <w:r w:rsidRPr="00DD36C5">
        <w:t xml:space="preserve"> </w:t>
      </w:r>
      <w:r>
        <w:t>of timber harvested each harvest period, the frequency of each harvest period, and</w:t>
      </w:r>
      <w:r w:rsidRPr="00DD36C5">
        <w:t xml:space="preserve"> </w:t>
      </w:r>
      <w:r>
        <w:t xml:space="preserve">harvested related prices and costs </w:t>
      </w:r>
      <w:r w:rsidRPr="00F441C5">
        <w:rPr>
          <w:i/>
        </w:rPr>
        <w:t>remain constant</w:t>
      </w:r>
      <w:r>
        <w:t xml:space="preserve"> in each timber parcel over the user-defined time period. In reality, each of these variables can change from year to year. For example, the mix of species harvested from a forest could change from one harvest period to the next and this could affect everything from the amount of wood harvested to the composite price received for the timber. In addition, un-modeled disturbances, such as forest fires or disease, or occasional managed thinning can have a major impact on harvest levels from a forest parcels.  </w:t>
      </w:r>
    </w:p>
    <w:p w:rsidR="00DA218F" w:rsidRPr="009B0054" w:rsidRDefault="00DA218F" w:rsidP="00DA218F">
      <w:pPr>
        <w:jc w:val="both"/>
        <w:rPr>
          <w:sz w:val="16"/>
        </w:rPr>
      </w:pPr>
      <w:r w:rsidRPr="009B0054">
        <w:rPr>
          <w:sz w:val="16"/>
        </w:rPr>
        <w:t xml:space="preserve"> </w:t>
      </w:r>
    </w:p>
    <w:p w:rsidR="00DA218F" w:rsidRDefault="00DA218F" w:rsidP="00DA218F">
      <w:pPr>
        <w:jc w:val="both"/>
      </w:pPr>
      <w:r>
        <w:t xml:space="preserve">Some of these limitations can be addressed by constraining the length of the time period used to assess harvests in parcels.  For example, if </w:t>
      </w:r>
      <w:r w:rsidRPr="00337FC1">
        <w:t>the current year</w:t>
      </w:r>
      <w:r>
        <w:t xml:space="preserve"> is 2000 and only the expected harvests until 2010 are valued, any unaccounted changes in timber harvest management or price changes may be minor. At this point a future 2010 LULC and timber parcel map could be evaluated with the timber model looking 10 years ahead again, from 2010 to 2020. The future timber parcel map could include any changes in timber management and prices that occurred between 2000 and 2010. This process could be repeated for successive decades until, for example, 2050.  Successive model runs with decadal time intervals until 2050, and the ability to change harvesting behavior and prices, will better approximate harvesting practices on the landscape than just running the model once from 2000 to 2050.</w:t>
      </w:r>
    </w:p>
    <w:p w:rsidR="00DA218F" w:rsidRPr="00806481" w:rsidRDefault="00DA218F" w:rsidP="00DA218F"/>
    <w:p w:rsidR="00DA218F" w:rsidRDefault="00DA218F" w:rsidP="00DA218F">
      <w:pPr>
        <w:jc w:val="both"/>
      </w:pPr>
      <w:r>
        <w:t>Further, given the expected variation in harvest management practices and prices over the modeled time interval, it is suggested that the user use mean values for each model input. The mean is typically the best summary of the distribution of expected values for a variable. For example, if it is known that harvests from a timber parcel over time will involve various species it is possible to set the timber price for that parcel equal to the average expected price for all harvested species.</w:t>
      </w:r>
    </w:p>
    <w:p w:rsidR="00DA218F" w:rsidRPr="00806481" w:rsidRDefault="00DA218F" w:rsidP="00DA218F"/>
    <w:p w:rsidR="00DA218F" w:rsidRPr="004B3D73" w:rsidRDefault="00DA218F" w:rsidP="00DA218F">
      <w:pPr>
        <w:pStyle w:val="Heading2"/>
        <w:ind w:left="-360"/>
        <w:jc w:val="both"/>
        <w:rPr>
          <w:rFonts w:ascii="Cambria" w:hAnsi="Cambria"/>
        </w:rPr>
      </w:pPr>
      <w:bookmarkStart w:id="24" w:name="_Toc158980619"/>
      <w:r w:rsidRPr="004B3D73">
        <w:rPr>
          <w:rFonts w:ascii="Cambria" w:hAnsi="Cambria"/>
        </w:rPr>
        <w:t>Data needs</w:t>
      </w:r>
      <w:bookmarkEnd w:id="24"/>
    </w:p>
    <w:p w:rsidR="00DA218F" w:rsidRDefault="00DA218F" w:rsidP="00DA218F">
      <w:pPr>
        <w:jc w:val="both"/>
      </w:pPr>
      <w:r>
        <w:t xml:space="preserve">The model requires a GIS polygon file (a vector database) demarcating timber parcels. Unique timber parcels can be distinguished by differences in the percent of the parcel harvested each harvest period, the mass of wood removed each harvest period, the species of trees removed, or the costs of managing and harvesting wood from the parcel. These attributes, along with timber prices and the time interval for analysis, can be included as a table in the shapefile or as a separate table. </w:t>
      </w:r>
    </w:p>
    <w:p w:rsidR="00DA218F" w:rsidRDefault="00DA218F" w:rsidP="00DA218F">
      <w:pPr>
        <w:jc w:val="both"/>
      </w:pPr>
    </w:p>
    <w:p w:rsidR="00DA218F" w:rsidRDefault="00DA218F" w:rsidP="00DA218F">
      <w:pPr>
        <w:numPr>
          <w:ilvl w:val="0"/>
          <w:numId w:val="3"/>
        </w:numPr>
        <w:suppressAutoHyphens/>
        <w:jc w:val="both"/>
      </w:pPr>
      <w:r>
        <w:rPr>
          <w:b/>
        </w:rPr>
        <w:t>Timber parcels (required)</w:t>
      </w:r>
      <w:r>
        <w:t xml:space="preserve">. A GIS dataset (vector) that indicates the different timber parcels on the landscape. Each parcel should be given a unique identifier. The dataset should be projected in meters and the projection used should be defined.  </w:t>
      </w:r>
    </w:p>
    <w:p w:rsidR="00DA218F" w:rsidRDefault="00DA218F" w:rsidP="00DA218F">
      <w:pPr>
        <w:ind w:left="1080"/>
        <w:jc w:val="both"/>
      </w:pPr>
      <w:r>
        <w:rPr>
          <w:u w:val="single"/>
        </w:rPr>
        <w:t>Name</w:t>
      </w:r>
      <w:r>
        <w:t>: file can be named anything</w:t>
      </w:r>
    </w:p>
    <w:p w:rsidR="00DA218F" w:rsidRDefault="00DA218F" w:rsidP="00DA218F">
      <w:pPr>
        <w:ind w:left="1080"/>
        <w:jc w:val="both"/>
      </w:pPr>
      <w:r>
        <w:rPr>
          <w:u w:val="single"/>
        </w:rPr>
        <w:t>File type</w:t>
      </w:r>
      <w:r w:rsidRPr="005F0C66">
        <w:t xml:space="preserve">: </w:t>
      </w:r>
      <w:r>
        <w:t xml:space="preserve">standard GIS polygon file (e.g., shapefile), with a unique identifier code for each polygon. </w:t>
      </w:r>
    </w:p>
    <w:p w:rsidR="00DA218F" w:rsidRDefault="00DA218F" w:rsidP="00DA218F">
      <w:pPr>
        <w:ind w:left="1080"/>
        <w:jc w:val="both"/>
      </w:pPr>
      <w:r>
        <w:rPr>
          <w:u w:val="single"/>
        </w:rPr>
        <w:t>Rows:</w:t>
      </w:r>
      <w:r>
        <w:t xml:space="preserve"> each row is a timber parcel.</w:t>
      </w:r>
    </w:p>
    <w:p w:rsidR="00DA218F" w:rsidRDefault="00DA218F" w:rsidP="00DA218F">
      <w:pPr>
        <w:ind w:left="1080"/>
        <w:jc w:val="both"/>
      </w:pPr>
      <w:r w:rsidRPr="003271CF">
        <w:rPr>
          <w:u w:val="single"/>
        </w:rPr>
        <w:lastRenderedPageBreak/>
        <w:t>Columns</w:t>
      </w:r>
      <w:r>
        <w:rPr>
          <w:u w:val="single"/>
        </w:rPr>
        <w:t>:</w:t>
      </w:r>
      <w:r>
        <w:t xml:space="preserve"> Each parcel should be identified with a unique ID. The production table data containing attributes of the parcel can be included as part of the shapefile’s attribute table or as a separate table that is joined or related to the shapefile. Either way, the variables and parameters to include in the data table are described below. </w:t>
      </w:r>
    </w:p>
    <w:p w:rsidR="00DA218F" w:rsidRDefault="00DA218F" w:rsidP="00DA218F">
      <w:pPr>
        <w:ind w:left="720"/>
        <w:jc w:val="both"/>
        <w:rPr>
          <w:b/>
        </w:rPr>
      </w:pPr>
      <w:r>
        <w:rPr>
          <w:b/>
          <w:bCs/>
          <w:u w:val="single"/>
        </w:rPr>
        <w:t>Sample</w:t>
      </w:r>
      <w:r w:rsidRPr="0075399E">
        <w:rPr>
          <w:b/>
          <w:bCs/>
          <w:u w:val="single"/>
        </w:rPr>
        <w:t xml:space="preserve"> data set</w:t>
      </w:r>
      <w:r w:rsidRPr="00073D5B">
        <w:rPr>
          <w:u w:val="single"/>
        </w:rPr>
        <w:t>:</w:t>
      </w:r>
      <w:r>
        <w:t xml:space="preserve">  </w:t>
      </w:r>
      <w:r w:rsidRPr="00700B7E">
        <w:t>\</w:t>
      </w:r>
      <w:r>
        <w:t>Invest</w:t>
      </w:r>
      <w:r w:rsidRPr="00700B7E">
        <w:t>\</w:t>
      </w:r>
      <w:r w:rsidRPr="00FA159F">
        <w:t>Timber\Input\</w:t>
      </w:r>
      <w:r w:rsidRPr="00FA159F">
        <w:rPr>
          <w:b/>
        </w:rPr>
        <w:t>plantation.shp</w:t>
      </w:r>
    </w:p>
    <w:p w:rsidR="00DA218F" w:rsidRDefault="00DA218F" w:rsidP="00DA218F">
      <w:pPr>
        <w:ind w:left="720"/>
        <w:jc w:val="both"/>
      </w:pPr>
    </w:p>
    <w:p w:rsidR="00DA218F" w:rsidRPr="004F6F40" w:rsidRDefault="00DA218F" w:rsidP="00DA218F">
      <w:pPr>
        <w:numPr>
          <w:ilvl w:val="0"/>
          <w:numId w:val="3"/>
        </w:numPr>
        <w:suppressAutoHyphens/>
        <w:jc w:val="both"/>
      </w:pPr>
      <w:r>
        <w:rPr>
          <w:b/>
        </w:rPr>
        <w:t>Production table (required)</w:t>
      </w:r>
      <w:r>
        <w:t>. A table of information about the timber parcels on the landscape. This is a separate data table that can be joined to the polygon dataset in #1.</w:t>
      </w:r>
    </w:p>
    <w:p w:rsidR="00DA218F" w:rsidRDefault="00DA218F" w:rsidP="00DA218F">
      <w:pPr>
        <w:ind w:left="1080"/>
        <w:jc w:val="both"/>
      </w:pPr>
      <w:r>
        <w:rPr>
          <w:u w:val="single"/>
        </w:rPr>
        <w:t>Name</w:t>
      </w:r>
      <w:r>
        <w:t>: file can be named anything</w:t>
      </w:r>
    </w:p>
    <w:p w:rsidR="00DA218F" w:rsidRDefault="00DA218F" w:rsidP="00DA218F">
      <w:pPr>
        <w:ind w:left="1080"/>
        <w:jc w:val="both"/>
      </w:pPr>
      <w:r>
        <w:rPr>
          <w:u w:val="single"/>
        </w:rPr>
        <w:t>File type:</w:t>
      </w:r>
      <w:r>
        <w:t xml:space="preserve"> *.dbf, or an attribute table as part of the timber parcel map.</w:t>
      </w:r>
    </w:p>
    <w:p w:rsidR="00DA218F" w:rsidRDefault="00DA218F" w:rsidP="00DA218F">
      <w:pPr>
        <w:ind w:left="1080"/>
        <w:jc w:val="both"/>
      </w:pPr>
      <w:r>
        <w:rPr>
          <w:u w:val="single"/>
        </w:rPr>
        <w:t>Rows</w:t>
      </w:r>
      <w:r>
        <w:t xml:space="preserve">: each row is a different parcel. </w:t>
      </w:r>
    </w:p>
    <w:p w:rsidR="00DA218F" w:rsidRDefault="00DA218F" w:rsidP="00DA218F">
      <w:pPr>
        <w:ind w:left="1080"/>
        <w:jc w:val="both"/>
      </w:pPr>
      <w:r>
        <w:rPr>
          <w:u w:val="single"/>
        </w:rPr>
        <w:t>Columns</w:t>
      </w:r>
      <w:r>
        <w:t>: contain an attribute for each parcel and must be named as follows:</w:t>
      </w:r>
    </w:p>
    <w:p w:rsidR="00DA218F" w:rsidRDefault="00DA218F" w:rsidP="00DA218F">
      <w:pPr>
        <w:numPr>
          <w:ilvl w:val="0"/>
          <w:numId w:val="1"/>
        </w:numPr>
        <w:tabs>
          <w:tab w:val="clear" w:pos="1440"/>
        </w:tabs>
        <w:suppressAutoHyphens/>
        <w:ind w:left="1800"/>
        <w:jc w:val="both"/>
      </w:pPr>
      <w:r w:rsidRPr="006772AE">
        <w:rPr>
          <w:i/>
        </w:rPr>
        <w:t>Parcel_ID</w:t>
      </w:r>
      <w:r>
        <w:t>:  Same as timber parcel ID in #1. IDs must match the parcel IDs used in the polygon map. User must select this field as a model input.</w:t>
      </w:r>
    </w:p>
    <w:p w:rsidR="00DA218F" w:rsidRDefault="00DA218F" w:rsidP="00DA218F">
      <w:pPr>
        <w:numPr>
          <w:ilvl w:val="0"/>
          <w:numId w:val="1"/>
        </w:numPr>
        <w:tabs>
          <w:tab w:val="left" w:pos="1440"/>
        </w:tabs>
        <w:suppressAutoHyphens/>
        <w:ind w:left="1800"/>
        <w:jc w:val="both"/>
      </w:pPr>
      <w:r w:rsidRPr="006772AE">
        <w:rPr>
          <w:i/>
        </w:rPr>
        <w:t>Parcl_area</w:t>
      </w:r>
      <w:r>
        <w:t xml:space="preserve">: The area of the timber parcel in hectares.    </w:t>
      </w:r>
    </w:p>
    <w:p w:rsidR="00DA218F" w:rsidRDefault="00DA218F" w:rsidP="00DA218F">
      <w:pPr>
        <w:numPr>
          <w:ilvl w:val="0"/>
          <w:numId w:val="1"/>
        </w:numPr>
        <w:tabs>
          <w:tab w:val="left" w:pos="1440"/>
        </w:tabs>
        <w:suppressAutoHyphens/>
        <w:ind w:left="1800"/>
        <w:jc w:val="both"/>
      </w:pPr>
      <w:r w:rsidRPr="006772AE">
        <w:rPr>
          <w:i/>
        </w:rPr>
        <w:t>Perc_harv</w:t>
      </w:r>
      <w:r>
        <w:t>: The proportion of the timber parcel area that is harvested each harvest period; units are integer percent.</w:t>
      </w:r>
    </w:p>
    <w:p w:rsidR="00DA218F" w:rsidRDefault="00DA218F" w:rsidP="00DA218F">
      <w:pPr>
        <w:numPr>
          <w:ilvl w:val="0"/>
          <w:numId w:val="1"/>
        </w:numPr>
        <w:tabs>
          <w:tab w:val="left" w:pos="1440"/>
        </w:tabs>
        <w:suppressAutoHyphens/>
        <w:ind w:left="1800"/>
        <w:jc w:val="both"/>
      </w:pPr>
      <w:r w:rsidRPr="006772AE">
        <w:rPr>
          <w:i/>
        </w:rPr>
        <w:t>Harv_mass</w:t>
      </w:r>
      <w:r>
        <w:t>: The mass of wood harvested per hectare (in metric tons (Mg) ha</w:t>
      </w:r>
      <w:r w:rsidRPr="00D408AA">
        <w:rPr>
          <w:vertAlign w:val="superscript"/>
        </w:rPr>
        <w:t>-1</w:t>
      </w:r>
      <w:r>
        <w:t>) in each harvest period.</w:t>
      </w:r>
    </w:p>
    <w:p w:rsidR="00DA218F" w:rsidRDefault="00DA218F" w:rsidP="00DA218F">
      <w:pPr>
        <w:numPr>
          <w:ilvl w:val="0"/>
          <w:numId w:val="1"/>
        </w:numPr>
        <w:tabs>
          <w:tab w:val="left" w:pos="1440"/>
        </w:tabs>
        <w:suppressAutoHyphens/>
        <w:ind w:left="1800"/>
        <w:jc w:val="both"/>
      </w:pPr>
      <w:r w:rsidRPr="006772AE">
        <w:rPr>
          <w:i/>
        </w:rPr>
        <w:t>Freq_harv</w:t>
      </w:r>
      <w:r>
        <w:t>: The frequency of harvest periods, in years, for each parcel.</w:t>
      </w:r>
    </w:p>
    <w:p w:rsidR="00DA218F" w:rsidRDefault="00DA218F" w:rsidP="00DA218F">
      <w:pPr>
        <w:numPr>
          <w:ilvl w:val="0"/>
          <w:numId w:val="1"/>
        </w:numPr>
        <w:tabs>
          <w:tab w:val="left" w:pos="1440"/>
        </w:tabs>
        <w:suppressAutoHyphens/>
        <w:ind w:left="1800"/>
        <w:jc w:val="both"/>
      </w:pPr>
      <w:r w:rsidRPr="006772AE">
        <w:rPr>
          <w:i/>
        </w:rPr>
        <w:t>Price</w:t>
      </w:r>
      <w:r>
        <w:t>: The marketplace value of the wood harvested from the parcel (Mg</w:t>
      </w:r>
      <w:r>
        <w:rPr>
          <w:vertAlign w:val="superscript"/>
        </w:rPr>
        <w:t>-1</w:t>
      </w:r>
      <w:r>
        <w:t xml:space="preserve">).  This price should reflect what is paid to the harvesters at mills or at other timber processing and collection sites. If a harvest includes multiple species, each with its own price, a weighted price should be used, where weights are given by the expected relative mix of the species in the harvest. Any value derived from pre-commercial thins should be included in </w:t>
      </w:r>
      <w:r w:rsidRPr="005142AC">
        <w:rPr>
          <w:i/>
        </w:rPr>
        <w:t>Mai</w:t>
      </w:r>
      <w:r>
        <w:rPr>
          <w:i/>
        </w:rPr>
        <w:t>n</w:t>
      </w:r>
      <w:r w:rsidRPr="005142AC">
        <w:rPr>
          <w:i/>
        </w:rPr>
        <w:t>t_cost</w:t>
      </w:r>
      <w:r>
        <w:t xml:space="preserve"> (see below).</w:t>
      </w:r>
    </w:p>
    <w:p w:rsidR="00DA218F" w:rsidRDefault="00DA218F" w:rsidP="00DA218F">
      <w:pPr>
        <w:numPr>
          <w:ilvl w:val="0"/>
          <w:numId w:val="1"/>
        </w:numPr>
        <w:tabs>
          <w:tab w:val="left" w:pos="1440"/>
        </w:tabs>
        <w:suppressAutoHyphens/>
        <w:ind w:left="1800"/>
        <w:jc w:val="both"/>
      </w:pPr>
      <w:r w:rsidRPr="006772AE">
        <w:rPr>
          <w:i/>
        </w:rPr>
        <w:t>Maint_cost</w:t>
      </w:r>
      <w:r>
        <w:t>: The annualized cost ha</w:t>
      </w:r>
      <w:r w:rsidRPr="000541E8">
        <w:rPr>
          <w:vertAlign w:val="superscript"/>
        </w:rPr>
        <w:t>-1</w:t>
      </w:r>
      <w:r>
        <w:t xml:space="preserve"> of maintaining the timber parcel, if any.  Costs may include the periodic costs to replant, treat and thin the stand, plus the cost to harvest, treat slash, and deliver wood to a processing facility. Other costs may include taxes, pest treatments, etc. If commercial thins before the main harvest produce product that has market value, the annual ha</w:t>
      </w:r>
      <w:r w:rsidRPr="00292666">
        <w:rPr>
          <w:vertAlign w:val="superscript"/>
        </w:rPr>
        <w:t>-1</w:t>
      </w:r>
      <w:r>
        <w:t xml:space="preserve"> value of these harvests should be subtracted from </w:t>
      </w:r>
      <w:r w:rsidRPr="00B2210E">
        <w:rPr>
          <w:i/>
        </w:rPr>
        <w:t>M</w:t>
      </w:r>
      <w:r>
        <w:rPr>
          <w:i/>
        </w:rPr>
        <w:t>aint_c</w:t>
      </w:r>
      <w:r w:rsidRPr="00B2210E">
        <w:rPr>
          <w:i/>
        </w:rPr>
        <w:t>ost</w:t>
      </w:r>
      <w:r>
        <w:t xml:space="preserve">. If the harvest comes from a natural forest that is not managed for timber production </w:t>
      </w:r>
      <w:r w:rsidRPr="00E45564">
        <w:rPr>
          <w:i/>
        </w:rPr>
        <w:t>Mai</w:t>
      </w:r>
      <w:r>
        <w:rPr>
          <w:i/>
        </w:rPr>
        <w:t>n</w:t>
      </w:r>
      <w:r w:rsidRPr="00E45564">
        <w:rPr>
          <w:i/>
        </w:rPr>
        <w:t>t_cost</w:t>
      </w:r>
      <w:r>
        <w:t xml:space="preserve"> may be 0.  (A</w:t>
      </w:r>
      <w:r w:rsidRPr="003271CF">
        <w:t>ctual stand maintenance costs may vary from year to year in a forest (e.g., in some years portions of a managed stand may have to be thinned prior to harvest and in other years anti-pest measures may have to be employed),</w:t>
      </w:r>
      <w:r>
        <w:t xml:space="preserve"> an annualized value</w:t>
      </w:r>
      <w:r w:rsidRPr="003271CF">
        <w:t xml:space="preserve"> “smoothes” this temporal variation in maintenance costs.</w:t>
      </w:r>
      <w:r>
        <w:t>)</w:t>
      </w:r>
      <w:r w:rsidRPr="003271CF">
        <w:t xml:space="preserve">  </w:t>
      </w:r>
    </w:p>
    <w:p w:rsidR="00DA218F" w:rsidRDefault="00DA218F" w:rsidP="00DA218F">
      <w:pPr>
        <w:numPr>
          <w:ilvl w:val="0"/>
          <w:numId w:val="1"/>
        </w:numPr>
        <w:tabs>
          <w:tab w:val="left" w:pos="1440"/>
        </w:tabs>
        <w:suppressAutoHyphens/>
        <w:ind w:left="1800"/>
        <w:jc w:val="both"/>
      </w:pPr>
      <w:r w:rsidRPr="006772AE">
        <w:rPr>
          <w:i/>
        </w:rPr>
        <w:t>Harv_cost</w:t>
      </w:r>
      <w:r>
        <w:t>: The cost (ha</w:t>
      </w:r>
      <w:r w:rsidRPr="000541E8">
        <w:rPr>
          <w:vertAlign w:val="superscript"/>
        </w:rPr>
        <w:t>-1</w:t>
      </w:r>
      <w:r>
        <w:t xml:space="preserve">) incurred when harvesting </w:t>
      </w:r>
      <w:r w:rsidRPr="00430A63">
        <w:rPr>
          <w:i/>
        </w:rPr>
        <w:t>Harv_mass</w:t>
      </w:r>
      <w:r>
        <w:t>.</w:t>
      </w:r>
    </w:p>
    <w:p w:rsidR="00DA218F" w:rsidRDefault="00DA218F" w:rsidP="00DA218F">
      <w:pPr>
        <w:numPr>
          <w:ilvl w:val="0"/>
          <w:numId w:val="1"/>
        </w:numPr>
        <w:tabs>
          <w:tab w:val="left" w:pos="1440"/>
        </w:tabs>
        <w:suppressAutoHyphens/>
        <w:ind w:left="1800"/>
        <w:jc w:val="both"/>
      </w:pPr>
      <w:r w:rsidRPr="006772AE">
        <w:rPr>
          <w:i/>
        </w:rPr>
        <w:t>T</w:t>
      </w:r>
      <w:r>
        <w:t xml:space="preserve">: The number of years from </w:t>
      </w:r>
      <w:r w:rsidRPr="00E45564">
        <w:rPr>
          <w:i/>
        </w:rPr>
        <w:t>yr_cur</w:t>
      </w:r>
      <w:r>
        <w:t xml:space="preserve"> or </w:t>
      </w:r>
      <w:r w:rsidRPr="00E45564">
        <w:rPr>
          <w:i/>
        </w:rPr>
        <w:t>yr_fut</w:t>
      </w:r>
      <w:r>
        <w:t xml:space="preserve"> that parcel harvests will be valued. If the parcel is in an even age rotation managed plantation, </w:t>
      </w:r>
      <w:r w:rsidRPr="00B63058">
        <w:rPr>
          <w:i/>
        </w:rPr>
        <w:t>T</w:t>
      </w:r>
      <w:r>
        <w:t xml:space="preserve"> can be any number, although as we explain below, we recommend against large </w:t>
      </w:r>
      <w:r w:rsidRPr="00344140">
        <w:rPr>
          <w:i/>
        </w:rPr>
        <w:t>T</w:t>
      </w:r>
      <w:r>
        <w:t xml:space="preserve">. If the harvest is expected to be an immediate one time clear cut </w:t>
      </w:r>
      <w:r w:rsidRPr="003401C9">
        <w:rPr>
          <w:i/>
        </w:rPr>
        <w:t>T</w:t>
      </w:r>
      <w:r>
        <w:t xml:space="preserve"> = 1. If a series of clear cuts in a natural forest are occurring or are expected, </w:t>
      </w:r>
      <w:r w:rsidRPr="00B63058">
        <w:rPr>
          <w:i/>
        </w:rPr>
        <w:t>T</w:t>
      </w:r>
      <w:r>
        <w:t xml:space="preserve"> can be no greater than the number of years that harvest of the natural stand can continue </w:t>
      </w:r>
      <w:r>
        <w:lastRenderedPageBreak/>
        <w:t xml:space="preserve">given </w:t>
      </w:r>
      <w:r w:rsidRPr="004B6756">
        <w:rPr>
          <w:i/>
        </w:rPr>
        <w:t>Per</w:t>
      </w:r>
      <w:r>
        <w:rPr>
          <w:i/>
        </w:rPr>
        <w:t>c</w:t>
      </w:r>
      <w:r w:rsidRPr="00407EAC">
        <w:t>_</w:t>
      </w:r>
      <w:r w:rsidRPr="00407EAC">
        <w:rPr>
          <w:i/>
        </w:rPr>
        <w:t>harv</w:t>
      </w:r>
      <w:r>
        <w:t xml:space="preserve"> and </w:t>
      </w:r>
      <w:r w:rsidRPr="00407EAC">
        <w:rPr>
          <w:i/>
        </w:rPr>
        <w:t>Freq_</w:t>
      </w:r>
      <w:r w:rsidRPr="00E45564">
        <w:rPr>
          <w:i/>
        </w:rPr>
        <w:t>harv</w:t>
      </w:r>
      <w:r>
        <w:t xml:space="preserve">. For example, if a natural stand is going to be replanted as a single species plantation or allowed to regenerate naturally before being harvested again in the future, </w:t>
      </w:r>
      <w:r w:rsidRPr="002E104A">
        <w:rPr>
          <w:i/>
        </w:rPr>
        <w:t>T</w:t>
      </w:r>
      <w:r>
        <w:t xml:space="preserve"> for the harvest of the natural stand can be no larger than 7 if </w:t>
      </w:r>
      <w:r w:rsidRPr="004B6756">
        <w:rPr>
          <w:i/>
        </w:rPr>
        <w:t>Per</w:t>
      </w:r>
      <w:r>
        <w:rPr>
          <w:i/>
        </w:rPr>
        <w:t>c</w:t>
      </w:r>
      <w:r w:rsidRPr="00407EAC">
        <w:t>_</w:t>
      </w:r>
      <w:r w:rsidRPr="00407EAC">
        <w:rPr>
          <w:i/>
        </w:rPr>
        <w:t>harv</w:t>
      </w:r>
      <w:r>
        <w:t xml:space="preserve"> = 33.3 and </w:t>
      </w:r>
      <w:r w:rsidRPr="00407EAC">
        <w:rPr>
          <w:i/>
        </w:rPr>
        <w:t>Freq_</w:t>
      </w:r>
      <w:r w:rsidRPr="00E45564">
        <w:rPr>
          <w:i/>
        </w:rPr>
        <w:t>harv</w:t>
      </w:r>
      <w:r>
        <w:t xml:space="preserve"> = 3 (assuming a harvest takes place in years 1 (</w:t>
      </w:r>
      <w:r w:rsidRPr="0014459F">
        <w:rPr>
          <w:i/>
        </w:rPr>
        <w:t>yr_cur</w:t>
      </w:r>
      <w:r>
        <w:t xml:space="preserve"> or </w:t>
      </w:r>
      <w:r w:rsidRPr="0014459F">
        <w:rPr>
          <w:i/>
        </w:rPr>
        <w:t>yr_fut</w:t>
      </w:r>
      <w:r>
        <w:t xml:space="preserve"> depending on the associated LULC map), 4, and 7). </w:t>
      </w:r>
    </w:p>
    <w:p w:rsidR="00DA218F" w:rsidRDefault="00DA218F" w:rsidP="00DA218F">
      <w:pPr>
        <w:numPr>
          <w:ilvl w:val="0"/>
          <w:numId w:val="1"/>
        </w:numPr>
        <w:tabs>
          <w:tab w:val="left" w:pos="1440"/>
        </w:tabs>
        <w:suppressAutoHyphens/>
        <w:ind w:left="1800"/>
        <w:jc w:val="both"/>
      </w:pPr>
      <w:r w:rsidRPr="006772AE">
        <w:rPr>
          <w:i/>
        </w:rPr>
        <w:t>Immed_harv</w:t>
      </w:r>
      <w:r>
        <w:t xml:space="preserve">: This attribute answers whether a harvest occurs immediately – whether a harvest occurs in </w:t>
      </w:r>
      <w:r w:rsidRPr="00407EAC">
        <w:rPr>
          <w:i/>
        </w:rPr>
        <w:t>yr_cur</w:t>
      </w:r>
      <w:r>
        <w:t xml:space="preserve">, or whether the user is evaluating a forest parcel associated with a future LULC scenario occurring in </w:t>
      </w:r>
      <w:r w:rsidRPr="00D0339C">
        <w:rPr>
          <w:i/>
        </w:rPr>
        <w:t>yr</w:t>
      </w:r>
      <w:r>
        <w:t>_</w:t>
      </w:r>
      <w:r w:rsidRPr="00407EAC">
        <w:rPr>
          <w:i/>
        </w:rPr>
        <w:t>fut</w:t>
      </w:r>
      <w:r>
        <w:t xml:space="preserve">. Answer yes (entered as YES or Y) or no (entered as No or N) to whether a harvest should be calculated for </w:t>
      </w:r>
      <w:r w:rsidRPr="005B0587">
        <w:rPr>
          <w:i/>
        </w:rPr>
        <w:t>yr_cur</w:t>
      </w:r>
      <w:r>
        <w:t xml:space="preserve"> or </w:t>
      </w:r>
      <w:r w:rsidRPr="005B0587">
        <w:rPr>
          <w:i/>
        </w:rPr>
        <w:t>yr_fut</w:t>
      </w:r>
      <w:r>
        <w:t xml:space="preserve">. If yes, then the NPV of harvest in the parcel includes a harvest in </w:t>
      </w:r>
      <w:r w:rsidRPr="005B0587">
        <w:rPr>
          <w:i/>
        </w:rPr>
        <w:t>yr_cur</w:t>
      </w:r>
      <w:r>
        <w:t xml:space="preserve">, otherwise the first harvest accounted for in the parcel’s NPV occurs </w:t>
      </w:r>
      <w:r w:rsidRPr="00407EAC">
        <w:rPr>
          <w:i/>
        </w:rPr>
        <w:t>Freq_</w:t>
      </w:r>
      <w:r w:rsidRPr="00E45564">
        <w:rPr>
          <w:i/>
        </w:rPr>
        <w:t>harv</w:t>
      </w:r>
      <w:r>
        <w:t xml:space="preserve"> years into the into time interval </w:t>
      </w:r>
      <w:r w:rsidRPr="00430A63">
        <w:rPr>
          <w:i/>
        </w:rPr>
        <w:t>T</w:t>
      </w:r>
      <w:r>
        <w:t xml:space="preserve">. </w:t>
      </w:r>
    </w:p>
    <w:p w:rsidR="00DA218F" w:rsidRDefault="00DA218F" w:rsidP="00DA218F">
      <w:pPr>
        <w:numPr>
          <w:ilvl w:val="0"/>
          <w:numId w:val="1"/>
        </w:numPr>
        <w:tabs>
          <w:tab w:val="left" w:pos="1440"/>
        </w:tabs>
        <w:suppressAutoHyphens/>
        <w:ind w:left="1800"/>
        <w:jc w:val="both"/>
        <w:rPr>
          <w:b/>
          <w:bCs/>
          <w:u w:val="single"/>
        </w:rPr>
      </w:pPr>
      <w:r w:rsidRPr="006772AE">
        <w:rPr>
          <w:i/>
        </w:rPr>
        <w:t>BCEF</w:t>
      </w:r>
      <w:r>
        <w:t>: An expansion factor that translates the mass of harvested wood into volume of harvested wood. The expansion factor is measured in Mg</w:t>
      </w:r>
      <w:r>
        <w:rPr>
          <w:vertAlign w:val="superscript"/>
        </w:rPr>
        <w:t xml:space="preserve"> </w:t>
      </w:r>
      <w:r>
        <w:t>of dry wood per m</w:t>
      </w:r>
      <w:r w:rsidRPr="00E91085">
        <w:rPr>
          <w:vertAlign w:val="superscript"/>
        </w:rPr>
        <w:t>3</w:t>
      </w:r>
      <w:r w:rsidRPr="00556B31">
        <w:t xml:space="preserve"> of wood</w:t>
      </w:r>
      <w:r>
        <w:t>. The expansion factor is a function of stand type and stand age (this factor is know as the biomass expansion factor in the literature). If you do not have data on this expansion factor you can use the BCEF</w:t>
      </w:r>
      <w:r w:rsidRPr="00E91085">
        <w:rPr>
          <w:vertAlign w:val="subscript"/>
        </w:rPr>
        <w:t>R</w:t>
      </w:r>
      <w:r>
        <w:t xml:space="preserve"> row in table 4.5 of IPCC (2006). Otherwise, set this expansion factor equal to 1 for each parcel.</w:t>
      </w:r>
    </w:p>
    <w:p w:rsidR="00DA218F" w:rsidRDefault="00DA218F" w:rsidP="00DA218F">
      <w:pPr>
        <w:ind w:firstLine="720"/>
        <w:jc w:val="both"/>
      </w:pPr>
      <w:r>
        <w:rPr>
          <w:b/>
          <w:bCs/>
          <w:u w:val="single"/>
        </w:rPr>
        <w:t>Sample</w:t>
      </w:r>
      <w:r w:rsidRPr="00E8427C">
        <w:rPr>
          <w:b/>
          <w:bCs/>
          <w:u w:val="single"/>
        </w:rPr>
        <w:t xml:space="preserve"> data set:</w:t>
      </w:r>
      <w:r w:rsidRPr="00E8427C">
        <w:rPr>
          <w:b/>
          <w:bCs/>
        </w:rPr>
        <w:t xml:space="preserve"> </w:t>
      </w:r>
      <w:r>
        <w:t xml:space="preserve"> </w:t>
      </w:r>
      <w:r w:rsidRPr="00700B7E">
        <w:t>\</w:t>
      </w:r>
      <w:r>
        <w:t>Invest</w:t>
      </w:r>
      <w:r w:rsidRPr="00700B7E">
        <w:t>\Timber\Input</w:t>
      </w:r>
      <w:r>
        <w:t>\</w:t>
      </w:r>
      <w:r w:rsidRPr="00700B7E">
        <w:rPr>
          <w:b/>
        </w:rPr>
        <w:t>plant</w:t>
      </w:r>
      <w:r>
        <w:rPr>
          <w:b/>
        </w:rPr>
        <w:t>_table.dbf</w:t>
      </w:r>
    </w:p>
    <w:p w:rsidR="00DA218F" w:rsidRPr="003271CF" w:rsidRDefault="00DA218F" w:rsidP="00DA218F">
      <w:pPr>
        <w:jc w:val="both"/>
      </w:pPr>
    </w:p>
    <w:p w:rsidR="00DA218F" w:rsidRDefault="00DA218F" w:rsidP="00DA218F">
      <w:pPr>
        <w:numPr>
          <w:ilvl w:val="0"/>
          <w:numId w:val="3"/>
        </w:numPr>
        <w:suppressAutoHyphens/>
        <w:jc w:val="both"/>
      </w:pPr>
      <w:r>
        <w:rPr>
          <w:b/>
        </w:rPr>
        <w:t>Market Discount Rate (optional – required for valuation)</w:t>
      </w:r>
      <w:r>
        <w:t xml:space="preserve">. This number is not supplied in a table, but instead is input directly through a tool interface (Labeled “Market discount rate (%)” in the tool interface.) The market discount rate </w:t>
      </w:r>
      <w:r w:rsidRPr="0062192F">
        <w:rPr>
          <w:u w:val="single"/>
        </w:rPr>
        <w:t>reflects society’s preference for immediate benefits</w:t>
      </w:r>
      <w:r>
        <w:t xml:space="preserve"> over future benefits (e.g., would you rather receive $10 today or $10 five years from now?). The tool’s default value </w:t>
      </w:r>
      <w:r w:rsidRPr="002062AC">
        <w:t>i</w:t>
      </w:r>
      <w:r>
        <w:t>s 7%</w:t>
      </w:r>
      <w:r w:rsidRPr="002062AC">
        <w:t xml:space="preserve"> </w:t>
      </w:r>
      <w:r>
        <w:t>per year, which is one of the rates recommended by the U.S. government for evaluation of environmental projects (the other is 3%). However, this rate will differ depending on the country and landscape being evaluated. It can also be set to 0% if so desired.</w:t>
      </w:r>
    </w:p>
    <w:p w:rsidR="00DA218F" w:rsidRDefault="00DA218F" w:rsidP="00DA218F">
      <w:pPr>
        <w:jc w:val="both"/>
      </w:pPr>
    </w:p>
    <w:p w:rsidR="00DA218F" w:rsidRPr="005C24E3" w:rsidRDefault="00DA218F" w:rsidP="00DA218F">
      <w:pPr>
        <w:ind w:left="360"/>
        <w:jc w:val="both"/>
      </w:pPr>
      <w:r>
        <w:t xml:space="preserve">To calculate NPV for a forest parcel a series of equation are used. First, we calculate the </w:t>
      </w:r>
      <w:r w:rsidRPr="005C24E3">
        <w:t xml:space="preserve">net value of a </w:t>
      </w:r>
      <w:r>
        <w:t xml:space="preserve">harvest during a harvest period in </w:t>
      </w:r>
      <w:r w:rsidRPr="005C24E3">
        <w:t xml:space="preserve">timber parcel </w:t>
      </w:r>
      <w:r w:rsidRPr="005C24E3">
        <w:rPr>
          <w:i/>
        </w:rPr>
        <w:t>x</w:t>
      </w:r>
      <w:r>
        <w:t>,</w:t>
      </w:r>
      <w:r w:rsidRPr="005C24E3">
        <w:t xml:space="preserve"> </w:t>
      </w:r>
    </w:p>
    <w:p w:rsidR="00DA218F" w:rsidRDefault="00DA218F" w:rsidP="00DA218F">
      <w:pPr>
        <w:ind w:left="360" w:firstLine="720"/>
        <w:jc w:val="center"/>
      </w:pPr>
      <w:r w:rsidRPr="00CD3ED6">
        <w:rPr>
          <w:i/>
        </w:rPr>
        <w:t>VH</w:t>
      </w:r>
      <w:r w:rsidRPr="00CD3ED6">
        <w:rPr>
          <w:i/>
          <w:vertAlign w:val="subscript"/>
        </w:rPr>
        <w:t>x</w:t>
      </w:r>
      <w:r w:rsidRPr="00CD3ED6">
        <w:t xml:space="preserve"> = </w:t>
      </w:r>
      <w:r>
        <w:rPr>
          <w:noProof/>
          <w:position w:val="-20"/>
        </w:rPr>
        <w:drawing>
          <wp:inline distT="0" distB="0" distL="0" distR="0">
            <wp:extent cx="3159760" cy="355600"/>
            <wp:effectExtent l="2540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 cstate="print"/>
                    <a:srcRect/>
                    <a:stretch>
                      <a:fillRect/>
                    </a:stretch>
                  </pic:blipFill>
                  <pic:spPr bwMode="auto">
                    <a:xfrm>
                      <a:off x="0" y="0"/>
                      <a:ext cx="3159760" cy="355600"/>
                    </a:xfrm>
                    <a:prstGeom prst="rect">
                      <a:avLst/>
                    </a:prstGeom>
                    <a:solidFill>
                      <a:srgbClr val="FFFFFF"/>
                    </a:solidFill>
                    <a:ln w="9525">
                      <a:noFill/>
                      <a:miter lim="800000"/>
                      <a:headEnd/>
                      <a:tailEnd/>
                    </a:ln>
                  </pic:spPr>
                </pic:pic>
              </a:graphicData>
            </a:graphic>
          </wp:inline>
        </w:drawing>
      </w:r>
      <w:r>
        <w:t xml:space="preserve"> </w:t>
      </w:r>
      <w:r>
        <w:tab/>
      </w:r>
      <w:r w:rsidRPr="00CD3ED6">
        <w:tab/>
        <w:t>(1)</w:t>
      </w:r>
    </w:p>
    <w:p w:rsidR="00DA218F" w:rsidRDefault="00DA218F" w:rsidP="00DA218F">
      <w:pPr>
        <w:ind w:left="360"/>
        <w:jc w:val="both"/>
      </w:pPr>
      <w:r w:rsidRPr="00CD3ED6">
        <w:t>where</w:t>
      </w:r>
      <w:r>
        <w:rPr>
          <w:i/>
        </w:rPr>
        <w:t xml:space="preserve"> VH</w:t>
      </w:r>
      <w:r w:rsidRPr="0083553F">
        <w:rPr>
          <w:i/>
          <w:vertAlign w:val="subscript"/>
        </w:rPr>
        <w:t>x</w:t>
      </w:r>
      <w:r w:rsidRPr="00D77036">
        <w:t xml:space="preserve"> is the monetary value</w:t>
      </w:r>
      <w:r>
        <w:t xml:space="preserve"> (ha</w:t>
      </w:r>
      <w:r w:rsidRPr="00F81FA8">
        <w:rPr>
          <w:vertAlign w:val="superscript"/>
        </w:rPr>
        <w:t>-1</w:t>
      </w:r>
      <w:r>
        <w:t>)</w:t>
      </w:r>
      <w:r w:rsidRPr="00D77036">
        <w:t xml:space="preserve"> </w:t>
      </w:r>
      <w:r>
        <w:t xml:space="preserve">generated during a period </w:t>
      </w:r>
      <w:r w:rsidRPr="00D77036">
        <w:t xml:space="preserve">of harvest in </w:t>
      </w:r>
      <w:r>
        <w:rPr>
          <w:i/>
        </w:rPr>
        <w:t>x</w:t>
      </w:r>
      <w:r w:rsidRPr="00D77036">
        <w:t>,</w:t>
      </w:r>
      <w:r>
        <w:rPr>
          <w:i/>
        </w:rPr>
        <w:t xml:space="preserve"> Perc_h</w:t>
      </w:r>
      <w:r w:rsidRPr="00CD3ED6">
        <w:rPr>
          <w:i/>
        </w:rPr>
        <w:t>arv</w:t>
      </w:r>
      <w:r w:rsidRPr="00CD3ED6">
        <w:rPr>
          <w:i/>
          <w:vertAlign w:val="subscript"/>
        </w:rPr>
        <w:t>x</w:t>
      </w:r>
      <w:r w:rsidRPr="00CD3ED6">
        <w:t xml:space="preserve"> is the percent</w:t>
      </w:r>
      <w:r>
        <w:t>age</w:t>
      </w:r>
      <w:r w:rsidRPr="00CD3ED6">
        <w:t xml:space="preserve"> of </w:t>
      </w:r>
      <w:r w:rsidRPr="005D6249">
        <w:rPr>
          <w:i/>
        </w:rPr>
        <w:t>x</w:t>
      </w:r>
      <w:r w:rsidRPr="00CD3ED6">
        <w:t xml:space="preserve"> that is harvested in </w:t>
      </w:r>
      <w:r>
        <w:t>each</w:t>
      </w:r>
      <w:r w:rsidRPr="00CD3ED6">
        <w:t xml:space="preserve"> </w:t>
      </w:r>
      <w:r>
        <w:t>harvest period (converted to a fraction)</w:t>
      </w:r>
      <w:r w:rsidRPr="00CD3ED6">
        <w:t xml:space="preserve">, </w:t>
      </w:r>
      <w:r w:rsidRPr="00CD3ED6">
        <w:rPr>
          <w:i/>
        </w:rPr>
        <w:t>Price</w:t>
      </w:r>
      <w:r w:rsidRPr="00CD3ED6">
        <w:rPr>
          <w:i/>
          <w:vertAlign w:val="subscript"/>
        </w:rPr>
        <w:t>x</w:t>
      </w:r>
      <w:r w:rsidRPr="00CD3ED6">
        <w:t xml:space="preserve"> is the market price of </w:t>
      </w:r>
      <w:r>
        <w:t xml:space="preserve">a Mg of </w:t>
      </w:r>
      <w:r w:rsidRPr="00CD3ED6">
        <w:t xml:space="preserve">timber extracted from </w:t>
      </w:r>
      <w:r w:rsidRPr="00CD3ED6">
        <w:rPr>
          <w:i/>
        </w:rPr>
        <w:t>x</w:t>
      </w:r>
      <w:r>
        <w:t>,</w:t>
      </w:r>
      <w:r w:rsidRPr="00CD3ED6">
        <w:rPr>
          <w:i/>
        </w:rPr>
        <w:t xml:space="preserve"> H</w:t>
      </w:r>
      <w:r>
        <w:rPr>
          <w:i/>
        </w:rPr>
        <w:t>arv_mass</w:t>
      </w:r>
      <w:r w:rsidRPr="00CD3ED6">
        <w:rPr>
          <w:i/>
          <w:vertAlign w:val="subscript"/>
        </w:rPr>
        <w:t>x</w:t>
      </w:r>
      <w:r w:rsidRPr="00CD3ED6">
        <w:rPr>
          <w:i/>
        </w:rPr>
        <w:t xml:space="preserve"> </w:t>
      </w:r>
      <w:r w:rsidRPr="00CD3ED6">
        <w:t xml:space="preserve">is the </w:t>
      </w:r>
      <w:r>
        <w:t xml:space="preserve">Mg </w:t>
      </w:r>
      <w:r w:rsidRPr="00CD3ED6">
        <w:t>ha</w:t>
      </w:r>
      <w:r w:rsidRPr="00CD3ED6">
        <w:rPr>
          <w:vertAlign w:val="superscript"/>
        </w:rPr>
        <w:t>-1</w:t>
      </w:r>
      <w:r w:rsidRPr="00CD3ED6">
        <w:t xml:space="preserve"> </w:t>
      </w:r>
      <w:r>
        <w:t xml:space="preserve">of wood </w:t>
      </w:r>
      <w:r w:rsidRPr="00CD3ED6">
        <w:t xml:space="preserve">removed </w:t>
      </w:r>
      <w:r>
        <w:t xml:space="preserve">from parcel </w:t>
      </w:r>
      <w:r w:rsidRPr="00027508">
        <w:rPr>
          <w:i/>
        </w:rPr>
        <w:t>x</w:t>
      </w:r>
      <w:r>
        <w:t xml:space="preserve"> during a harvest period,</w:t>
      </w:r>
      <w:r w:rsidRPr="00CD3ED6">
        <w:t xml:space="preserve"> and </w:t>
      </w:r>
      <w:r w:rsidRPr="00CD3ED6">
        <w:rPr>
          <w:i/>
        </w:rPr>
        <w:t>H</w:t>
      </w:r>
      <w:r>
        <w:rPr>
          <w:i/>
        </w:rPr>
        <w:t>arv_c</w:t>
      </w:r>
      <w:r w:rsidRPr="00CD3ED6">
        <w:rPr>
          <w:i/>
        </w:rPr>
        <w:t>ost</w:t>
      </w:r>
      <w:r w:rsidRPr="00CD3ED6">
        <w:rPr>
          <w:i/>
          <w:vertAlign w:val="subscript"/>
        </w:rPr>
        <w:t>x</w:t>
      </w:r>
      <w:r w:rsidRPr="00CD3ED6">
        <w:t xml:space="preserve"> is the cost</w:t>
      </w:r>
      <w:r>
        <w:t xml:space="preserve"> (ha</w:t>
      </w:r>
      <w:r w:rsidRPr="00027508">
        <w:rPr>
          <w:vertAlign w:val="superscript"/>
        </w:rPr>
        <w:t>-1</w:t>
      </w:r>
      <w:r>
        <w:t xml:space="preserve">) </w:t>
      </w:r>
      <w:r w:rsidRPr="00CD3ED6">
        <w:t xml:space="preserve">of removing and delivering </w:t>
      </w:r>
      <w:r w:rsidRPr="00027508">
        <w:rPr>
          <w:i/>
        </w:rPr>
        <w:t>H</w:t>
      </w:r>
      <w:r>
        <w:rPr>
          <w:i/>
        </w:rPr>
        <w:t>arv_mass</w:t>
      </w:r>
      <w:r w:rsidRPr="00027508">
        <w:rPr>
          <w:i/>
          <w:vertAlign w:val="subscript"/>
        </w:rPr>
        <w:t>x</w:t>
      </w:r>
      <w:r w:rsidRPr="00CD3ED6">
        <w:t xml:space="preserve"> to a processing facility</w:t>
      </w:r>
      <w:r>
        <w:t xml:space="preserve"> or transaction point</w:t>
      </w:r>
      <w:r w:rsidRPr="00CD3ED6">
        <w:t>.</w:t>
      </w:r>
      <w:r>
        <w:t xml:space="preserve"> In general, </w:t>
      </w:r>
      <w:r w:rsidRPr="000073B2">
        <w:rPr>
          <w:i/>
        </w:rPr>
        <w:t>H</w:t>
      </w:r>
      <w:r>
        <w:rPr>
          <w:i/>
        </w:rPr>
        <w:t>arv_mass</w:t>
      </w:r>
      <w:r w:rsidRPr="000073B2">
        <w:rPr>
          <w:i/>
          <w:vertAlign w:val="subscript"/>
        </w:rPr>
        <w:t>x</w:t>
      </w:r>
      <w:r>
        <w:t xml:space="preserve"> will be given by the aboveground biomass (Mg ha</w:t>
      </w:r>
      <w:r w:rsidRPr="003253E4">
        <w:rPr>
          <w:vertAlign w:val="superscript"/>
        </w:rPr>
        <w:t>-1</w:t>
      </w:r>
      <w:r>
        <w:t xml:space="preserve">) content of the forest stand less any portion of the stand that is left as waste (e.g., stems, small braches, bark, etc.). For example, assume a company plans to clear-cut 10% of a native forest block in each harvest period, </w:t>
      </w:r>
      <w:r w:rsidRPr="00027508">
        <w:rPr>
          <w:i/>
        </w:rPr>
        <w:t>Price</w:t>
      </w:r>
      <w:r w:rsidRPr="00027508">
        <w:rPr>
          <w:i/>
          <w:vertAlign w:val="subscript"/>
        </w:rPr>
        <w:t>x</w:t>
      </w:r>
      <w:r>
        <w:t xml:space="preserve"> is expected to be $10 Mg</w:t>
      </w:r>
      <w:r w:rsidRPr="00027508">
        <w:rPr>
          <w:vertAlign w:val="superscript"/>
        </w:rPr>
        <w:t>-1</w:t>
      </w:r>
      <w:r>
        <w:t xml:space="preserve">, </w:t>
      </w:r>
      <w:r w:rsidRPr="00027508">
        <w:rPr>
          <w:i/>
        </w:rPr>
        <w:t>H</w:t>
      </w:r>
      <w:r>
        <w:rPr>
          <w:i/>
        </w:rPr>
        <w:t>arv_mass</w:t>
      </w:r>
      <w:r w:rsidRPr="00027508">
        <w:rPr>
          <w:i/>
          <w:vertAlign w:val="subscript"/>
        </w:rPr>
        <w:t>x</w:t>
      </w:r>
      <w:r>
        <w:t xml:space="preserve"> is 800 Mg ha</w:t>
      </w:r>
      <w:r w:rsidRPr="00027508">
        <w:rPr>
          <w:vertAlign w:val="superscript"/>
        </w:rPr>
        <w:t>-1</w:t>
      </w:r>
      <w:r>
        <w:t xml:space="preserve">, and </w:t>
      </w:r>
      <w:r w:rsidRPr="00027508">
        <w:rPr>
          <w:i/>
        </w:rPr>
        <w:t>H</w:t>
      </w:r>
      <w:r>
        <w:rPr>
          <w:i/>
        </w:rPr>
        <w:t>arv_c</w:t>
      </w:r>
      <w:r w:rsidRPr="00027508">
        <w:rPr>
          <w:i/>
        </w:rPr>
        <w:t>ost</w:t>
      </w:r>
      <w:r w:rsidRPr="00027508">
        <w:rPr>
          <w:i/>
          <w:vertAlign w:val="subscript"/>
        </w:rPr>
        <w:t>x</w:t>
      </w:r>
      <w:r>
        <w:t xml:space="preserve"> = $5,000 ha</w:t>
      </w:r>
      <w:r w:rsidRPr="00027508">
        <w:rPr>
          <w:vertAlign w:val="superscript"/>
        </w:rPr>
        <w:t>-1</w:t>
      </w:r>
      <w:r>
        <w:t>. The net value created during a harvest period is given by,</w:t>
      </w:r>
    </w:p>
    <w:p w:rsidR="00DA218F" w:rsidRPr="000569F8" w:rsidRDefault="00DA218F" w:rsidP="00DA218F">
      <w:pPr>
        <w:ind w:left="540"/>
        <w:jc w:val="both"/>
        <w:rPr>
          <w:sz w:val="14"/>
        </w:rPr>
      </w:pPr>
      <w:r w:rsidRPr="000569F8">
        <w:rPr>
          <w:sz w:val="14"/>
        </w:rPr>
        <w:t xml:space="preserve"> </w:t>
      </w:r>
    </w:p>
    <w:p w:rsidR="00DA218F" w:rsidRDefault="00DA218F" w:rsidP="00DA218F">
      <w:pPr>
        <w:jc w:val="center"/>
      </w:pPr>
      <w:r w:rsidRPr="00CD3ED6">
        <w:rPr>
          <w:i/>
        </w:rPr>
        <w:t>VH</w:t>
      </w:r>
      <w:r w:rsidRPr="00CD3ED6">
        <w:rPr>
          <w:i/>
          <w:vertAlign w:val="subscript"/>
        </w:rPr>
        <w:t>x</w:t>
      </w:r>
      <w:r w:rsidRPr="00CD3ED6">
        <w:t xml:space="preserve"> = </w:t>
      </w:r>
      <w:r>
        <w:rPr>
          <w:noProof/>
          <w:position w:val="-10"/>
        </w:rPr>
        <w:drawing>
          <wp:inline distT="0" distB="0" distL="0" distR="0">
            <wp:extent cx="1412240" cy="213360"/>
            <wp:effectExtent l="25400" t="0" r="1016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9" cstate="print"/>
                    <a:srcRect/>
                    <a:stretch>
                      <a:fillRect/>
                    </a:stretch>
                  </pic:blipFill>
                  <pic:spPr bwMode="auto">
                    <a:xfrm>
                      <a:off x="0" y="0"/>
                      <a:ext cx="1412240" cy="213360"/>
                    </a:xfrm>
                    <a:prstGeom prst="rect">
                      <a:avLst/>
                    </a:prstGeom>
                    <a:solidFill>
                      <a:srgbClr val="FFFFFF"/>
                    </a:solidFill>
                    <a:ln w="9525">
                      <a:noFill/>
                      <a:miter lim="800000"/>
                      <a:headEnd/>
                      <a:tailEnd/>
                    </a:ln>
                  </pic:spPr>
                </pic:pic>
              </a:graphicData>
            </a:graphic>
          </wp:inline>
        </w:drawing>
      </w:r>
      <w:r>
        <w:t>= 300.</w:t>
      </w:r>
      <w:r>
        <w:tab/>
      </w:r>
      <w:r>
        <w:tab/>
        <w:t>(2)</w:t>
      </w:r>
    </w:p>
    <w:p w:rsidR="00DA218F" w:rsidRPr="000569F8" w:rsidRDefault="00DA218F" w:rsidP="00DA218F">
      <w:pPr>
        <w:jc w:val="center"/>
        <w:rPr>
          <w:sz w:val="14"/>
        </w:rPr>
      </w:pPr>
      <w:r w:rsidRPr="000569F8">
        <w:rPr>
          <w:sz w:val="14"/>
        </w:rPr>
        <w:lastRenderedPageBreak/>
        <w:t xml:space="preserve">  </w:t>
      </w:r>
    </w:p>
    <w:p w:rsidR="00DA218F" w:rsidRDefault="00DA218F" w:rsidP="00DA218F">
      <w:pPr>
        <w:ind w:left="360"/>
        <w:jc w:val="both"/>
      </w:pPr>
      <w:r>
        <w:t xml:space="preserve">A harvest period is a sustained period of harvest followed by a break in extraction. Plantation forests tend to have a harvest period every year. More natural forests may have more intermittent periods of harvest (e.g., a pulse of harvest activity every 3 years). The periodicity of harvest periods in parcel </w:t>
      </w:r>
      <w:r w:rsidRPr="000073B2">
        <w:rPr>
          <w:i/>
        </w:rPr>
        <w:t>x</w:t>
      </w:r>
      <w:r>
        <w:t xml:space="preserve"> is given by the variable </w:t>
      </w:r>
      <w:r w:rsidRPr="00CE0933">
        <w:rPr>
          <w:i/>
        </w:rPr>
        <w:t>Freq</w:t>
      </w:r>
      <w:r>
        <w:rPr>
          <w:i/>
        </w:rPr>
        <w:t>_harv</w:t>
      </w:r>
      <w:r w:rsidRPr="00CE0933">
        <w:rPr>
          <w:i/>
          <w:vertAlign w:val="subscript"/>
        </w:rPr>
        <w:t>x</w:t>
      </w:r>
      <w:r>
        <w:t xml:space="preserve">.  </w:t>
      </w:r>
    </w:p>
    <w:p w:rsidR="00DA218F" w:rsidRDefault="00DA218F" w:rsidP="00DA218F">
      <w:pPr>
        <w:ind w:left="360"/>
        <w:jc w:val="both"/>
      </w:pPr>
    </w:p>
    <w:p w:rsidR="00DA218F" w:rsidRPr="00CD3ED6" w:rsidRDefault="00DA218F" w:rsidP="00DA218F">
      <w:pPr>
        <w:ind w:left="360"/>
        <w:jc w:val="both"/>
      </w:pPr>
      <w:r>
        <w:t xml:space="preserve">The variable </w:t>
      </w:r>
      <w:r w:rsidRPr="00CE0933">
        <w:rPr>
          <w:i/>
        </w:rPr>
        <w:t>Freq</w:t>
      </w:r>
      <w:r>
        <w:rPr>
          <w:i/>
        </w:rPr>
        <w:t>_harv</w:t>
      </w:r>
      <w:r w:rsidRPr="00CE0933">
        <w:rPr>
          <w:i/>
          <w:vertAlign w:val="subscript"/>
        </w:rPr>
        <w:t>x</w:t>
      </w:r>
      <w:r>
        <w:t xml:space="preserve"> is used to convert the per hectare value of the parcel (</w:t>
      </w:r>
      <w:r w:rsidRPr="00CE0933">
        <w:rPr>
          <w:i/>
        </w:rPr>
        <w:t>VH</w:t>
      </w:r>
      <w:r w:rsidRPr="00CE0933">
        <w:rPr>
          <w:i/>
          <w:vertAlign w:val="subscript"/>
        </w:rPr>
        <w:t>x</w:t>
      </w:r>
      <w:r>
        <w:t>) into a stream of net harvest revenues, which is then aggregated and discounted appropriately. Specifically, t</w:t>
      </w:r>
      <w:r w:rsidRPr="00CD3ED6">
        <w:t xml:space="preserve">he </w:t>
      </w:r>
      <w:r>
        <w:t>NPV (</w:t>
      </w:r>
      <w:r w:rsidRPr="00CD3ED6">
        <w:t>ha</w:t>
      </w:r>
      <w:r w:rsidRPr="00CD3ED6">
        <w:rPr>
          <w:vertAlign w:val="superscript"/>
        </w:rPr>
        <w:t>-1</w:t>
      </w:r>
      <w:r>
        <w:t xml:space="preserve">) </w:t>
      </w:r>
      <w:r w:rsidRPr="00CD3ED6">
        <w:t xml:space="preserve">of </w:t>
      </w:r>
      <w:r>
        <w:t xml:space="preserve">a stream of harvests that engender </w:t>
      </w:r>
      <w:r w:rsidRPr="00CD3ED6">
        <w:rPr>
          <w:i/>
        </w:rPr>
        <w:t>VH</w:t>
      </w:r>
      <w:r w:rsidRPr="00CD3ED6">
        <w:rPr>
          <w:i/>
          <w:vertAlign w:val="subscript"/>
        </w:rPr>
        <w:t>x</w:t>
      </w:r>
      <w:r w:rsidRPr="00CD3ED6">
        <w:t xml:space="preserve"> </w:t>
      </w:r>
      <w:r>
        <w:t xml:space="preserve">intermittingly </w:t>
      </w:r>
      <w:r w:rsidRPr="00CD3ED6">
        <w:t>f</w:t>
      </w:r>
      <w:r>
        <w:t xml:space="preserve">rom </w:t>
      </w:r>
      <w:r w:rsidRPr="005C24E3">
        <w:rPr>
          <w:i/>
        </w:rPr>
        <w:t>yr_cur</w:t>
      </w:r>
      <w:r>
        <w:t xml:space="preserve"> or </w:t>
      </w:r>
      <w:r w:rsidRPr="005C24E3">
        <w:rPr>
          <w:i/>
        </w:rPr>
        <w:t>yr_fut</w:t>
      </w:r>
      <w:r>
        <w:t xml:space="preserve"> to </w:t>
      </w:r>
      <w:proofErr w:type="gramStart"/>
      <w:r w:rsidRPr="00CD3ED6">
        <w:rPr>
          <w:i/>
        </w:rPr>
        <w:t>T</w:t>
      </w:r>
      <w:r>
        <w:rPr>
          <w:i/>
          <w:vertAlign w:val="subscript"/>
        </w:rPr>
        <w:t>x</w:t>
      </w:r>
      <w:proofErr w:type="gramEnd"/>
      <w:r w:rsidRPr="00CD3ED6">
        <w:t xml:space="preserve"> years</w:t>
      </w:r>
      <w:r>
        <w:t xml:space="preserve"> after </w:t>
      </w:r>
      <w:r w:rsidRPr="005C24E3">
        <w:rPr>
          <w:i/>
        </w:rPr>
        <w:t>yr_cur</w:t>
      </w:r>
      <w:r>
        <w:t xml:space="preserve"> or </w:t>
      </w:r>
      <w:r w:rsidRPr="005C24E3">
        <w:rPr>
          <w:i/>
        </w:rPr>
        <w:t>yr_fut</w:t>
      </w:r>
      <w:r w:rsidDel="005C24E3">
        <w:t xml:space="preserve"> </w:t>
      </w:r>
      <w:r w:rsidRPr="00CD3ED6">
        <w:t xml:space="preserve">is given by: </w:t>
      </w:r>
    </w:p>
    <w:p w:rsidR="00DA218F" w:rsidRPr="00CD3ED6" w:rsidRDefault="00DA218F" w:rsidP="00DA218F">
      <w:pPr>
        <w:ind w:left="540"/>
        <w:jc w:val="center"/>
      </w:pPr>
      <w:r>
        <w:rPr>
          <w:noProof/>
          <w:position w:val="-62"/>
        </w:rPr>
        <w:drawing>
          <wp:inline distT="0" distB="0" distL="0" distR="0">
            <wp:extent cx="4003040" cy="873760"/>
            <wp:effectExtent l="25400" t="0" r="1016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cstate="print"/>
                    <a:srcRect/>
                    <a:stretch>
                      <a:fillRect/>
                    </a:stretch>
                  </pic:blipFill>
                  <pic:spPr bwMode="auto">
                    <a:xfrm>
                      <a:off x="0" y="0"/>
                      <a:ext cx="4003040" cy="873760"/>
                    </a:xfrm>
                    <a:prstGeom prst="rect">
                      <a:avLst/>
                    </a:prstGeom>
                    <a:solidFill>
                      <a:srgbClr val="FFFFFF"/>
                    </a:solidFill>
                    <a:ln w="9525">
                      <a:noFill/>
                      <a:miter lim="800000"/>
                      <a:headEnd/>
                      <a:tailEnd/>
                    </a:ln>
                  </pic:spPr>
                </pic:pic>
              </a:graphicData>
            </a:graphic>
          </wp:inline>
        </w:drawing>
      </w:r>
      <w:r w:rsidRPr="00CD3ED6">
        <w:tab/>
      </w:r>
      <w:r>
        <w:tab/>
      </w:r>
      <w:r w:rsidRPr="00CD3ED6">
        <w:t>(</w:t>
      </w:r>
      <w:r>
        <w:t>3</w:t>
      </w:r>
      <w:r w:rsidRPr="00CD3ED6">
        <w:t>)</w:t>
      </w:r>
    </w:p>
    <w:p w:rsidR="00DA218F" w:rsidRDefault="00DA218F" w:rsidP="00DA218F">
      <w:pPr>
        <w:ind w:left="360"/>
        <w:jc w:val="both"/>
      </w:pPr>
      <w:r>
        <w:t>w</w:t>
      </w:r>
      <w:r w:rsidRPr="00CD3ED6">
        <w:t>here</w:t>
      </w:r>
      <w:r>
        <w:t xml:space="preserve"> “ru” means any fraction produced by </w:t>
      </w:r>
      <w:r w:rsidRPr="00FE4000">
        <w:rPr>
          <w:i/>
        </w:rPr>
        <w:t>T</w:t>
      </w:r>
      <w:r w:rsidRPr="00FE4000">
        <w:rPr>
          <w:i/>
          <w:vertAlign w:val="subscript"/>
        </w:rPr>
        <w:t>x</w:t>
      </w:r>
      <w:r>
        <w:t xml:space="preserve"> / </w:t>
      </w:r>
      <w:r w:rsidRPr="00FE4000">
        <w:rPr>
          <w:i/>
        </w:rPr>
        <w:t>Freq</w:t>
      </w:r>
      <w:r>
        <w:rPr>
          <w:i/>
        </w:rPr>
        <w:t>_harv</w:t>
      </w:r>
      <w:r w:rsidRPr="00FE4000">
        <w:rPr>
          <w:i/>
          <w:vertAlign w:val="subscript"/>
        </w:rPr>
        <w:t>x</w:t>
      </w:r>
      <w:r>
        <w:t xml:space="preserve"> is rounded up to the next integer, </w:t>
      </w:r>
      <w:r w:rsidRPr="00CD3ED6">
        <w:rPr>
          <w:i/>
        </w:rPr>
        <w:t>Freq</w:t>
      </w:r>
      <w:r>
        <w:rPr>
          <w:i/>
        </w:rPr>
        <w:t>_harv</w:t>
      </w:r>
      <w:r w:rsidRPr="00CD3ED6">
        <w:rPr>
          <w:i/>
          <w:vertAlign w:val="subscript"/>
        </w:rPr>
        <w:t>x</w:t>
      </w:r>
      <w:r w:rsidRPr="00CD3ED6">
        <w:t xml:space="preserve"> is the frequency (</w:t>
      </w:r>
      <w:r>
        <w:t xml:space="preserve">in years) of harvest periods, </w:t>
      </w:r>
      <w:r w:rsidRPr="00CD3ED6">
        <w:rPr>
          <w:i/>
        </w:rPr>
        <w:t>r</w:t>
      </w:r>
      <w:r w:rsidRPr="00CD3ED6">
        <w:t xml:space="preserve"> is the market discount rate</w:t>
      </w:r>
      <w:r>
        <w:t>,</w:t>
      </w:r>
      <w:r w:rsidRPr="00CD3ED6">
        <w:t xml:space="preserve"> and</w:t>
      </w:r>
      <w:r>
        <w:t xml:space="preserve"> </w:t>
      </w:r>
      <w:r w:rsidRPr="00CD3ED6">
        <w:rPr>
          <w:i/>
        </w:rPr>
        <w:t>M</w:t>
      </w:r>
      <w:r>
        <w:rPr>
          <w:i/>
        </w:rPr>
        <w:t>aint_c</w:t>
      </w:r>
      <w:r w:rsidRPr="00CD3ED6">
        <w:rPr>
          <w:i/>
        </w:rPr>
        <w:t>ost</w:t>
      </w:r>
      <w:r w:rsidRPr="00CD3ED6">
        <w:rPr>
          <w:i/>
          <w:vertAlign w:val="subscript"/>
        </w:rPr>
        <w:t>x</w:t>
      </w:r>
      <w:r w:rsidRPr="00CD3ED6">
        <w:t xml:space="preserve"> is the annual</w:t>
      </w:r>
      <w:r>
        <w:t>ized</w:t>
      </w:r>
      <w:r w:rsidRPr="00CD3ED6">
        <w:t xml:space="preserve"> cost </w:t>
      </w:r>
      <w:r>
        <w:t>(ha</w:t>
      </w:r>
      <w:r w:rsidRPr="00795EB8">
        <w:rPr>
          <w:vertAlign w:val="superscript"/>
        </w:rPr>
        <w:t>-1</w:t>
      </w:r>
      <w:r>
        <w:t xml:space="preserve">) </w:t>
      </w:r>
      <w:r w:rsidRPr="00CD3ED6">
        <w:t xml:space="preserve">of managing </w:t>
      </w:r>
      <w:r>
        <w:t xml:space="preserve">parcel </w:t>
      </w:r>
      <w:r w:rsidRPr="00CD3ED6">
        <w:rPr>
          <w:i/>
        </w:rPr>
        <w:t>x</w:t>
      </w:r>
      <w:r w:rsidRPr="00937131">
        <w:t>.</w:t>
      </w:r>
      <w:r>
        <w:t xml:space="preserve"> Continuing our earlier example, where </w:t>
      </w:r>
      <w:r w:rsidRPr="001B10A9">
        <w:rPr>
          <w:i/>
        </w:rPr>
        <w:t>VH</w:t>
      </w:r>
      <w:r w:rsidRPr="001B10A9">
        <w:rPr>
          <w:i/>
          <w:vertAlign w:val="subscript"/>
        </w:rPr>
        <w:t>x</w:t>
      </w:r>
      <w:r>
        <w:t xml:space="preserve"> = 300, if we set</w:t>
      </w:r>
      <w:r w:rsidRPr="00937131">
        <w:rPr>
          <w:i/>
        </w:rPr>
        <w:t xml:space="preserve"> </w:t>
      </w:r>
      <w:r w:rsidRPr="009913C6">
        <w:rPr>
          <w:i/>
        </w:rPr>
        <w:t>Freq</w:t>
      </w:r>
      <w:r>
        <w:rPr>
          <w:i/>
        </w:rPr>
        <w:t>_harv</w:t>
      </w:r>
      <w:r w:rsidRPr="009913C6">
        <w:rPr>
          <w:i/>
          <w:vertAlign w:val="subscript"/>
        </w:rPr>
        <w:t>x</w:t>
      </w:r>
      <w:r>
        <w:t xml:space="preserve"> = 1 (a harvest period occurs every year), </w:t>
      </w:r>
      <w:r w:rsidRPr="00795EB8">
        <w:rPr>
          <w:i/>
        </w:rPr>
        <w:t>T</w:t>
      </w:r>
      <w:r w:rsidRPr="00795EB8">
        <w:rPr>
          <w:i/>
          <w:vertAlign w:val="subscript"/>
        </w:rPr>
        <w:t>x</w:t>
      </w:r>
      <w:r>
        <w:t xml:space="preserve"> equal to 10 (</w:t>
      </w:r>
      <w:r w:rsidRPr="001B10A9">
        <w:rPr>
          <w:i/>
        </w:rPr>
        <w:t>T</w:t>
      </w:r>
      <w:r w:rsidRPr="001B10A9">
        <w:rPr>
          <w:i/>
          <w:vertAlign w:val="subscript"/>
        </w:rPr>
        <w:t>x</w:t>
      </w:r>
      <w:r>
        <w:t xml:space="preserve"> can be no larger than 10 because the native forest will be completely gone in 10 years given </w:t>
      </w:r>
      <w:r w:rsidRPr="001B10A9">
        <w:rPr>
          <w:i/>
        </w:rPr>
        <w:t>P</w:t>
      </w:r>
      <w:r>
        <w:rPr>
          <w:i/>
        </w:rPr>
        <w:t>e</w:t>
      </w:r>
      <w:r w:rsidRPr="001B10A9">
        <w:rPr>
          <w:i/>
        </w:rPr>
        <w:t>r</w:t>
      </w:r>
      <w:r>
        <w:rPr>
          <w:i/>
        </w:rPr>
        <w:t>c_h</w:t>
      </w:r>
      <w:r w:rsidRPr="001B10A9">
        <w:rPr>
          <w:i/>
        </w:rPr>
        <w:t>arv</w:t>
      </w:r>
      <w:r w:rsidRPr="001B10A9">
        <w:rPr>
          <w:i/>
          <w:vertAlign w:val="subscript"/>
        </w:rPr>
        <w:t>x</w:t>
      </w:r>
      <w:r>
        <w:t xml:space="preserve"> = 10%), </w:t>
      </w:r>
      <w:r w:rsidRPr="001B10A9">
        <w:rPr>
          <w:i/>
        </w:rPr>
        <w:t>r</w:t>
      </w:r>
      <w:r>
        <w:t xml:space="preserve"> equal to 7%, and </w:t>
      </w:r>
      <w:r w:rsidRPr="009913C6">
        <w:rPr>
          <w:i/>
        </w:rPr>
        <w:t>M</w:t>
      </w:r>
      <w:r>
        <w:rPr>
          <w:i/>
        </w:rPr>
        <w:t>aint_c</w:t>
      </w:r>
      <w:r w:rsidRPr="009913C6">
        <w:rPr>
          <w:i/>
        </w:rPr>
        <w:t>ost</w:t>
      </w:r>
      <w:r w:rsidRPr="009913C6">
        <w:rPr>
          <w:i/>
          <w:vertAlign w:val="subscript"/>
        </w:rPr>
        <w:t>x</w:t>
      </w:r>
      <w:r>
        <w:t xml:space="preserve"> equal to $50 ha</w:t>
      </w:r>
      <w:r w:rsidRPr="00795EB8">
        <w:rPr>
          <w:vertAlign w:val="superscript"/>
        </w:rPr>
        <w:t>-1</w:t>
      </w:r>
      <w:r>
        <w:t xml:space="preserve">, then </w:t>
      </w:r>
      <w:r w:rsidRPr="009913C6">
        <w:t xml:space="preserve">the NPV of the </w:t>
      </w:r>
      <w:r>
        <w:t xml:space="preserve">stream of </w:t>
      </w:r>
      <w:r w:rsidRPr="0029761A">
        <w:rPr>
          <w:i/>
        </w:rPr>
        <w:t>V</w:t>
      </w:r>
      <w:r w:rsidRPr="00CD3ED6">
        <w:rPr>
          <w:i/>
        </w:rPr>
        <w:t>H</w:t>
      </w:r>
      <w:r w:rsidRPr="00CD3ED6">
        <w:rPr>
          <w:i/>
          <w:vertAlign w:val="subscript"/>
        </w:rPr>
        <w:t>x</w:t>
      </w:r>
      <w:r w:rsidRPr="00795EB8">
        <w:t xml:space="preserve"> is</w:t>
      </w:r>
      <w:r>
        <w:t>,</w:t>
      </w:r>
    </w:p>
    <w:p w:rsidR="00DA218F" w:rsidRDefault="00DA218F" w:rsidP="00DA218F">
      <w:pPr>
        <w:ind w:left="360" w:firstLine="720"/>
        <w:jc w:val="center"/>
      </w:pPr>
      <w:r>
        <w:rPr>
          <w:noProof/>
          <w:position w:val="-20"/>
        </w:rPr>
        <w:drawing>
          <wp:inline distT="0" distB="0" distL="0" distR="0">
            <wp:extent cx="1971040" cy="355600"/>
            <wp:effectExtent l="25400" t="0" r="1016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1" cstate="print"/>
                    <a:srcRect/>
                    <a:stretch>
                      <a:fillRect/>
                    </a:stretch>
                  </pic:blipFill>
                  <pic:spPr bwMode="auto">
                    <a:xfrm>
                      <a:off x="0" y="0"/>
                      <a:ext cx="1971040" cy="355600"/>
                    </a:xfrm>
                    <a:prstGeom prst="rect">
                      <a:avLst/>
                    </a:prstGeom>
                    <a:solidFill>
                      <a:srgbClr val="FFFFFF"/>
                    </a:solidFill>
                    <a:ln w="9525">
                      <a:noFill/>
                      <a:miter lim="800000"/>
                      <a:headEnd/>
                      <a:tailEnd/>
                    </a:ln>
                  </pic:spPr>
                </pic:pic>
              </a:graphicData>
            </a:graphic>
          </wp:inline>
        </w:drawing>
      </w:r>
      <w:r>
        <w:tab/>
      </w:r>
      <w:r>
        <w:tab/>
        <w:t>(4)</w:t>
      </w:r>
    </w:p>
    <w:p w:rsidR="00DA218F" w:rsidRPr="0062192F" w:rsidRDefault="00DA218F" w:rsidP="00DA218F">
      <w:pPr>
        <w:ind w:left="360" w:firstLine="720"/>
        <w:jc w:val="center"/>
        <w:rPr>
          <w:sz w:val="12"/>
        </w:rPr>
      </w:pPr>
      <w:r w:rsidRPr="0062192F">
        <w:rPr>
          <w:sz w:val="12"/>
        </w:rPr>
        <w:t xml:space="preserve"> </w:t>
      </w:r>
    </w:p>
    <w:p w:rsidR="00DA218F" w:rsidRDefault="00DA218F" w:rsidP="00DA218F">
      <w:pPr>
        <w:ind w:left="360"/>
        <w:jc w:val="both"/>
      </w:pPr>
      <w:r>
        <w:t xml:space="preserve">On the other hand, assume </w:t>
      </w:r>
      <w:r w:rsidRPr="00836BA4">
        <w:rPr>
          <w:i/>
        </w:rPr>
        <w:t>Freq</w:t>
      </w:r>
      <w:r>
        <w:rPr>
          <w:i/>
        </w:rPr>
        <w:t>_harv</w:t>
      </w:r>
      <w:r w:rsidRPr="00836BA4">
        <w:rPr>
          <w:i/>
          <w:vertAlign w:val="subscript"/>
        </w:rPr>
        <w:t>x</w:t>
      </w:r>
      <w:r>
        <w:t xml:space="preserve"> = 3 (a 10% harvest of the timber parcel occurs every 3 years) and all other variables are as before, then,</w:t>
      </w:r>
    </w:p>
    <w:p w:rsidR="00DA218F" w:rsidRDefault="00DA218F" w:rsidP="00DA218F">
      <w:pPr>
        <w:ind w:left="360" w:firstLine="720"/>
        <w:jc w:val="center"/>
      </w:pPr>
      <w:r>
        <w:rPr>
          <w:noProof/>
          <w:position w:val="-62"/>
        </w:rPr>
        <w:drawing>
          <wp:inline distT="0" distB="0" distL="0" distR="0">
            <wp:extent cx="2377440" cy="873760"/>
            <wp:effectExtent l="25400" t="0" r="1016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2" cstate="print"/>
                    <a:srcRect/>
                    <a:stretch>
                      <a:fillRect/>
                    </a:stretch>
                  </pic:blipFill>
                  <pic:spPr bwMode="auto">
                    <a:xfrm>
                      <a:off x="0" y="0"/>
                      <a:ext cx="2377440" cy="873760"/>
                    </a:xfrm>
                    <a:prstGeom prst="rect">
                      <a:avLst/>
                    </a:prstGeom>
                    <a:solidFill>
                      <a:srgbClr val="FFFFFF"/>
                    </a:solidFill>
                    <a:ln w="9525">
                      <a:noFill/>
                      <a:miter lim="800000"/>
                      <a:headEnd/>
                      <a:tailEnd/>
                    </a:ln>
                  </pic:spPr>
                </pic:pic>
              </a:graphicData>
            </a:graphic>
          </wp:inline>
        </w:drawing>
      </w:r>
      <w:r>
        <w:tab/>
      </w:r>
      <w:r>
        <w:tab/>
        <w:t>(5)</w:t>
      </w:r>
    </w:p>
    <w:p w:rsidR="00DA218F" w:rsidRDefault="00DA218F" w:rsidP="00DA218F">
      <w:pPr>
        <w:ind w:left="360"/>
        <w:jc w:val="both"/>
      </w:pPr>
      <w:r>
        <w:t>In other words, a harvest period occurs in years 1 (</w:t>
      </w:r>
      <w:r w:rsidRPr="0014459F">
        <w:rPr>
          <w:i/>
        </w:rPr>
        <w:t>yr_cur</w:t>
      </w:r>
      <w:r>
        <w:t xml:space="preserve"> or </w:t>
      </w:r>
      <w:r w:rsidRPr="0014459F">
        <w:rPr>
          <w:i/>
        </w:rPr>
        <w:t>yr_fut</w:t>
      </w:r>
      <w:r>
        <w:t xml:space="preserve">), 4, 7, and 10 with annualized management costs incurred every year (where </w:t>
      </w:r>
      <w:r w:rsidRPr="00FE4000">
        <w:rPr>
          <w:i/>
        </w:rPr>
        <w:t>s</w:t>
      </w:r>
      <w:r>
        <w:t xml:space="preserve"> = 0 refers to year 1, </w:t>
      </w:r>
      <w:r w:rsidRPr="00FE4000">
        <w:rPr>
          <w:i/>
        </w:rPr>
        <w:t>s</w:t>
      </w:r>
      <w:r>
        <w:t xml:space="preserve"> = 1 refers to year 4,</w:t>
      </w:r>
      <w:r w:rsidRPr="00FE4000">
        <w:t xml:space="preserve"> </w:t>
      </w:r>
      <w:r w:rsidRPr="00FE4000">
        <w:rPr>
          <w:i/>
        </w:rPr>
        <w:t>s</w:t>
      </w:r>
      <w:r>
        <w:t xml:space="preserve"> = 2 refers to year 7 and </w:t>
      </w:r>
      <w:r w:rsidRPr="00FE4000">
        <w:rPr>
          <w:i/>
        </w:rPr>
        <w:t>s</w:t>
      </w:r>
      <w:r>
        <w:t xml:space="preserve"> = 3 refers to year 10). Note that when using equation (3) we always assume a harvest period in </w:t>
      </w:r>
      <w:r w:rsidRPr="0014459F">
        <w:rPr>
          <w:i/>
        </w:rPr>
        <w:t>yr_cur</w:t>
      </w:r>
      <w:r>
        <w:t xml:space="preserve"> or </w:t>
      </w:r>
      <w:r w:rsidRPr="0014459F">
        <w:rPr>
          <w:i/>
        </w:rPr>
        <w:t>yr_fut</w:t>
      </w:r>
      <w:r>
        <w:t xml:space="preserve">, the next occurs </w:t>
      </w:r>
      <w:r w:rsidRPr="001B10A9">
        <w:rPr>
          <w:i/>
        </w:rPr>
        <w:t>Freq</w:t>
      </w:r>
      <w:r w:rsidRPr="001B10A9">
        <w:rPr>
          <w:i/>
          <w:vertAlign w:val="subscript"/>
        </w:rPr>
        <w:t>x</w:t>
      </w:r>
      <w:r>
        <w:t xml:space="preserve"> years later, the next 2 </w:t>
      </w:r>
      <w:r>
        <w:rPr>
          <w:noProof/>
          <w:position w:val="-4"/>
        </w:rPr>
        <w:drawing>
          <wp:inline distT="0" distB="0" distL="0" distR="0">
            <wp:extent cx="111760" cy="111760"/>
            <wp:effectExtent l="2540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3" cstate="print"/>
                    <a:srcRect/>
                    <a:stretch>
                      <a:fillRect/>
                    </a:stretch>
                  </pic:blipFill>
                  <pic:spPr bwMode="auto">
                    <a:xfrm>
                      <a:off x="0" y="0"/>
                      <a:ext cx="111760" cy="111760"/>
                    </a:xfrm>
                    <a:prstGeom prst="rect">
                      <a:avLst/>
                    </a:prstGeom>
                    <a:noFill/>
                    <a:ln w="9525">
                      <a:noFill/>
                      <a:miter lim="800000"/>
                      <a:headEnd/>
                      <a:tailEnd/>
                    </a:ln>
                  </pic:spPr>
                </pic:pic>
              </a:graphicData>
            </a:graphic>
          </wp:inline>
        </w:drawing>
      </w:r>
      <w:r w:rsidRPr="00790D18">
        <w:rPr>
          <w:i/>
        </w:rPr>
        <w:t>Freq</w:t>
      </w:r>
      <w:r w:rsidRPr="00790D18">
        <w:rPr>
          <w:i/>
          <w:vertAlign w:val="subscript"/>
        </w:rPr>
        <w:t>x</w:t>
      </w:r>
      <w:r>
        <w:t xml:space="preserve"> years later, etc.</w:t>
      </w:r>
    </w:p>
    <w:p w:rsidR="00DA218F" w:rsidRDefault="00DA218F" w:rsidP="00DA218F">
      <w:pPr>
        <w:ind w:left="360"/>
        <w:jc w:val="both"/>
      </w:pPr>
    </w:p>
    <w:p w:rsidR="00DA218F" w:rsidRDefault="00DA218F" w:rsidP="00DA218F">
      <w:pPr>
        <w:ind w:left="360"/>
        <w:jc w:val="both"/>
      </w:pPr>
      <w:r>
        <w:t xml:space="preserve">Alternatively, if a harvest does not take place in </w:t>
      </w:r>
      <w:r w:rsidRPr="0014459F">
        <w:rPr>
          <w:i/>
        </w:rPr>
        <w:t>yr_cur</w:t>
      </w:r>
      <w:r>
        <w:t xml:space="preserve"> or </w:t>
      </w:r>
      <w:r w:rsidRPr="0014459F">
        <w:rPr>
          <w:i/>
        </w:rPr>
        <w:t>yr_fut</w:t>
      </w:r>
      <w:r>
        <w:t xml:space="preserve">, and instead the first one is accounted for </w:t>
      </w:r>
      <w:r w:rsidRPr="009871CF">
        <w:rPr>
          <w:i/>
        </w:rPr>
        <w:t>Freq</w:t>
      </w:r>
      <w:r w:rsidRPr="009871CF">
        <w:rPr>
          <w:i/>
          <w:vertAlign w:val="subscript"/>
        </w:rPr>
        <w:t>x</w:t>
      </w:r>
      <w:r>
        <w:t xml:space="preserve"> years into the time interval </w:t>
      </w:r>
      <w:r w:rsidRPr="00874188">
        <w:rPr>
          <w:i/>
        </w:rPr>
        <w:t>T</w:t>
      </w:r>
      <w:r>
        <w:t>, then we use the following equation,</w:t>
      </w:r>
    </w:p>
    <w:p w:rsidR="00DA218F" w:rsidRDefault="00DA218F" w:rsidP="00DA218F">
      <w:pPr>
        <w:ind w:left="360" w:firstLine="720"/>
        <w:jc w:val="both"/>
      </w:pPr>
      <w:r>
        <w:rPr>
          <w:noProof/>
          <w:position w:val="-62"/>
        </w:rPr>
        <w:drawing>
          <wp:inline distT="0" distB="0" distL="0" distR="0">
            <wp:extent cx="4003040" cy="873760"/>
            <wp:effectExtent l="25400" t="0" r="1016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4" cstate="print"/>
                    <a:srcRect/>
                    <a:stretch>
                      <a:fillRect/>
                    </a:stretch>
                  </pic:blipFill>
                  <pic:spPr bwMode="auto">
                    <a:xfrm>
                      <a:off x="0" y="0"/>
                      <a:ext cx="4003040" cy="873760"/>
                    </a:xfrm>
                    <a:prstGeom prst="rect">
                      <a:avLst/>
                    </a:prstGeom>
                    <a:solidFill>
                      <a:srgbClr val="FFFFFF"/>
                    </a:solidFill>
                    <a:ln w="9525">
                      <a:noFill/>
                      <a:miter lim="800000"/>
                      <a:headEnd/>
                      <a:tailEnd/>
                    </a:ln>
                  </pic:spPr>
                </pic:pic>
              </a:graphicData>
            </a:graphic>
          </wp:inline>
        </w:drawing>
      </w:r>
      <w:r>
        <w:tab/>
        <w:t>(6)</w:t>
      </w:r>
    </w:p>
    <w:p w:rsidR="00DA218F" w:rsidRDefault="00DA218F" w:rsidP="00DA218F">
      <w:pPr>
        <w:ind w:left="360"/>
        <w:jc w:val="both"/>
      </w:pPr>
      <w:proofErr w:type="gramStart"/>
      <w:r>
        <w:lastRenderedPageBreak/>
        <w:t>where</w:t>
      </w:r>
      <w:proofErr w:type="gramEnd"/>
      <w:r>
        <w:t xml:space="preserve"> “rd” means any fraction produced by </w:t>
      </w:r>
      <w:r w:rsidRPr="00FE4000">
        <w:rPr>
          <w:i/>
        </w:rPr>
        <w:t>T</w:t>
      </w:r>
      <w:r w:rsidRPr="00FE4000">
        <w:rPr>
          <w:i/>
          <w:vertAlign w:val="subscript"/>
        </w:rPr>
        <w:t>x</w:t>
      </w:r>
      <w:r>
        <w:t xml:space="preserve"> / </w:t>
      </w:r>
      <w:r w:rsidRPr="00FE4000">
        <w:rPr>
          <w:i/>
        </w:rPr>
        <w:t>Freq</w:t>
      </w:r>
      <w:r>
        <w:rPr>
          <w:i/>
        </w:rPr>
        <w:t>_harv</w:t>
      </w:r>
      <w:r w:rsidRPr="00FE4000">
        <w:rPr>
          <w:i/>
          <w:vertAlign w:val="subscript"/>
        </w:rPr>
        <w:t>x</w:t>
      </w:r>
      <w:r>
        <w:t xml:space="preserve"> is rounded down to the next integer In this case, if </w:t>
      </w:r>
      <w:r w:rsidRPr="00836BA4">
        <w:rPr>
          <w:i/>
        </w:rPr>
        <w:t>Freq</w:t>
      </w:r>
      <w:r>
        <w:rPr>
          <w:i/>
        </w:rPr>
        <w:t>_harv</w:t>
      </w:r>
      <w:r w:rsidRPr="00836BA4">
        <w:rPr>
          <w:i/>
          <w:vertAlign w:val="subscript"/>
        </w:rPr>
        <w:t>x</w:t>
      </w:r>
      <w:r>
        <w:t xml:space="preserve"> = 3 and </w:t>
      </w:r>
      <w:r w:rsidRPr="009A5CBD">
        <w:rPr>
          <w:i/>
        </w:rPr>
        <w:t>T</w:t>
      </w:r>
      <w:r w:rsidRPr="009A5CBD">
        <w:rPr>
          <w:i/>
          <w:vertAlign w:val="subscript"/>
        </w:rPr>
        <w:t>x</w:t>
      </w:r>
      <w:r>
        <w:t xml:space="preserve"> = 10, then </w:t>
      </w:r>
      <w:r w:rsidRPr="009A5CBD">
        <w:rPr>
          <w:i/>
        </w:rPr>
        <w:t>x</w:t>
      </w:r>
      <w:r>
        <w:t xml:space="preserve"> experiences a harvest period in years 3, 6, and 9 of the time interval.</w:t>
      </w:r>
    </w:p>
    <w:p w:rsidR="00DA218F" w:rsidRDefault="00DA218F" w:rsidP="00DA218F">
      <w:pPr>
        <w:ind w:left="360"/>
        <w:jc w:val="both"/>
      </w:pPr>
    </w:p>
    <w:p w:rsidR="00DA218F" w:rsidRPr="00CD3ED6" w:rsidRDefault="00DA218F" w:rsidP="00DA218F">
      <w:pPr>
        <w:ind w:left="360"/>
        <w:jc w:val="both"/>
      </w:pPr>
      <w:r>
        <w:t xml:space="preserve">The selection of </w:t>
      </w:r>
      <w:proofErr w:type="gramStart"/>
      <w:r w:rsidRPr="00790D18">
        <w:rPr>
          <w:i/>
        </w:rPr>
        <w:t>T</w:t>
      </w:r>
      <w:r w:rsidRPr="00790D18">
        <w:rPr>
          <w:i/>
          <w:vertAlign w:val="subscript"/>
        </w:rPr>
        <w:t>x</w:t>
      </w:r>
      <w:proofErr w:type="gramEnd"/>
      <w:r>
        <w:t xml:space="preserve"> and </w:t>
      </w:r>
      <w:r w:rsidRPr="00790D18">
        <w:rPr>
          <w:i/>
        </w:rPr>
        <w:t>Freq</w:t>
      </w:r>
      <w:r w:rsidRPr="00790D18">
        <w:rPr>
          <w:i/>
          <w:vertAlign w:val="subscript"/>
        </w:rPr>
        <w:t>x</w:t>
      </w:r>
      <w:r>
        <w:t xml:space="preserve"> require some thought</w:t>
      </w:r>
      <w:r w:rsidRPr="00CD3ED6">
        <w:rPr>
          <w:i/>
        </w:rPr>
        <w:t>.</w:t>
      </w:r>
      <w:r>
        <w:rPr>
          <w:i/>
        </w:rPr>
        <w:t xml:space="preserve"> </w:t>
      </w:r>
      <w:r>
        <w:t xml:space="preserve">First, if timber parcel </w:t>
      </w:r>
      <w:r w:rsidRPr="001B10A9">
        <w:rPr>
          <w:i/>
        </w:rPr>
        <w:t>x</w:t>
      </w:r>
      <w:r>
        <w:t xml:space="preserve"> </w:t>
      </w:r>
      <w:r w:rsidRPr="00790D18">
        <w:t xml:space="preserve">is </w:t>
      </w:r>
      <w:r>
        <w:t xml:space="preserve">expected </w:t>
      </w:r>
      <w:r w:rsidRPr="00790D18">
        <w:t>to only experience one immediate harvest</w:t>
      </w:r>
      <w:r>
        <w:t xml:space="preserve"> period (either</w:t>
      </w:r>
      <w:r w:rsidRPr="00790D18">
        <w:t xml:space="preserve"> </w:t>
      </w:r>
      <w:r>
        <w:t xml:space="preserve">in the base year with equation (3) or </w:t>
      </w:r>
      <w:r w:rsidRPr="009A5CBD">
        <w:rPr>
          <w:i/>
        </w:rPr>
        <w:t>Freq</w:t>
      </w:r>
      <w:r w:rsidRPr="009A5CBD">
        <w:rPr>
          <w:i/>
          <w:vertAlign w:val="subscript"/>
        </w:rPr>
        <w:t>x</w:t>
      </w:r>
      <w:r>
        <w:t xml:space="preserve">-years into the time interval with equation (6)), </w:t>
      </w:r>
      <w:r w:rsidRPr="00790D18">
        <w:t xml:space="preserve">then set </w:t>
      </w:r>
      <w:proofErr w:type="gramStart"/>
      <w:r>
        <w:rPr>
          <w:i/>
        </w:rPr>
        <w:t>T</w:t>
      </w:r>
      <w:r w:rsidRPr="00790D18">
        <w:rPr>
          <w:i/>
          <w:vertAlign w:val="subscript"/>
        </w:rPr>
        <w:t>x</w:t>
      </w:r>
      <w:proofErr w:type="gramEnd"/>
      <w:r w:rsidRPr="00790D18">
        <w:t xml:space="preserve"> = </w:t>
      </w:r>
      <w:r>
        <w:rPr>
          <w:i/>
        </w:rPr>
        <w:t>Freq</w:t>
      </w:r>
      <w:r w:rsidRPr="00790D18">
        <w:rPr>
          <w:i/>
          <w:vertAlign w:val="subscript"/>
        </w:rPr>
        <w:t>x</w:t>
      </w:r>
      <w:r w:rsidRPr="00790D18">
        <w:t xml:space="preserve"> = 1.</w:t>
      </w:r>
      <w:r w:rsidRPr="00CD3ED6">
        <w:t xml:space="preserve"> </w:t>
      </w:r>
      <w:r>
        <w:t xml:space="preserve">On the other hand, if parcel </w:t>
      </w:r>
      <w:r w:rsidRPr="00A22CC8">
        <w:rPr>
          <w:i/>
        </w:rPr>
        <w:t>x</w:t>
      </w:r>
      <w:r>
        <w:t xml:space="preserve"> is in an even-aged managed rotation, then the value of </w:t>
      </w:r>
      <w:proofErr w:type="gramStart"/>
      <w:r w:rsidRPr="00790D18">
        <w:rPr>
          <w:i/>
        </w:rPr>
        <w:t>T</w:t>
      </w:r>
      <w:r w:rsidRPr="00790D18">
        <w:rPr>
          <w:i/>
          <w:vertAlign w:val="subscript"/>
        </w:rPr>
        <w:t>x</w:t>
      </w:r>
      <w:proofErr w:type="gramEnd"/>
      <w:r>
        <w:t xml:space="preserve"> can be set very high (we assume that harvests can be sustained indefinitely in such systems). However, we recommend against using large </w:t>
      </w:r>
      <w:proofErr w:type="gramStart"/>
      <w:r w:rsidRPr="00790D18">
        <w:rPr>
          <w:i/>
        </w:rPr>
        <w:t>T</w:t>
      </w:r>
      <w:r w:rsidRPr="00790D18">
        <w:rPr>
          <w:i/>
          <w:vertAlign w:val="subscript"/>
        </w:rPr>
        <w:t>x</w:t>
      </w:r>
      <w:proofErr w:type="gramEnd"/>
      <w:r>
        <w:t xml:space="preserve"> values for any </w:t>
      </w:r>
      <w:r w:rsidRPr="00790D18">
        <w:rPr>
          <w:i/>
        </w:rPr>
        <w:t>x</w:t>
      </w:r>
      <w:r>
        <w:t xml:space="preserve"> for several reasons. First, in this model, timber price, harvest cost, and management cost are </w:t>
      </w:r>
      <w:r w:rsidRPr="0062192F">
        <w:rPr>
          <w:i/>
        </w:rPr>
        <w:t>static</w:t>
      </w:r>
      <w:r>
        <w:t xml:space="preserve"> over time. This may only be a reasonable assumption for short periods of time (e.g., 20 years). Second, in this model, timber management is static over time; again this may only be a reasonable assumption over short periods of time. Third, if natural forests are being transformed into plantations, a large </w:t>
      </w:r>
      <w:r w:rsidRPr="00F34022">
        <w:rPr>
          <w:i/>
        </w:rPr>
        <w:t>T</w:t>
      </w:r>
      <w:r>
        <w:t xml:space="preserve"> would require that we begin accounting for the eventual plantation harvests. This complication would make the model less tractable. Note that </w:t>
      </w:r>
      <w:r w:rsidRPr="005F498F">
        <w:rPr>
          <w:i/>
        </w:rPr>
        <w:t>Freq</w:t>
      </w:r>
      <w:r w:rsidRPr="005F498F">
        <w:rPr>
          <w:i/>
          <w:vertAlign w:val="subscript"/>
        </w:rPr>
        <w:t>x</w:t>
      </w:r>
      <w:r>
        <w:t xml:space="preserve"> </w:t>
      </w:r>
      <w:r>
        <w:rPr>
          <w:noProof/>
          <w:position w:val="-4"/>
        </w:rPr>
        <w:drawing>
          <wp:inline distT="0" distB="0" distL="0" distR="0">
            <wp:extent cx="111760" cy="152400"/>
            <wp:effectExtent l="2540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5" cstate="print"/>
                    <a:srcRect/>
                    <a:stretch>
                      <a:fillRect/>
                    </a:stretch>
                  </pic:blipFill>
                  <pic:spPr bwMode="auto">
                    <a:xfrm>
                      <a:off x="0" y="0"/>
                      <a:ext cx="111760" cy="152400"/>
                    </a:xfrm>
                    <a:prstGeom prst="rect">
                      <a:avLst/>
                    </a:prstGeom>
                    <a:noFill/>
                    <a:ln w="9525">
                      <a:noFill/>
                      <a:miter lim="800000"/>
                      <a:headEnd/>
                      <a:tailEnd/>
                    </a:ln>
                  </pic:spPr>
                </pic:pic>
              </a:graphicData>
            </a:graphic>
          </wp:inline>
        </w:drawing>
      </w:r>
      <w:proofErr w:type="gramStart"/>
      <w:r w:rsidRPr="005F498F">
        <w:rPr>
          <w:i/>
        </w:rPr>
        <w:t>T</w:t>
      </w:r>
      <w:r w:rsidRPr="005F498F">
        <w:rPr>
          <w:i/>
          <w:vertAlign w:val="subscript"/>
        </w:rPr>
        <w:t>x</w:t>
      </w:r>
      <w:proofErr w:type="gramEnd"/>
      <w:r>
        <w:t xml:space="preserve"> for all </w:t>
      </w:r>
      <w:r w:rsidRPr="005F498F">
        <w:rPr>
          <w:i/>
        </w:rPr>
        <w:t>x</w:t>
      </w:r>
      <w:r>
        <w:t xml:space="preserve">. </w:t>
      </w:r>
    </w:p>
    <w:p w:rsidR="00DA218F" w:rsidRDefault="00DA218F" w:rsidP="00DA218F">
      <w:pPr>
        <w:ind w:left="360"/>
        <w:jc w:val="both"/>
      </w:pPr>
    </w:p>
    <w:p w:rsidR="00DA218F" w:rsidRPr="00CD3ED6" w:rsidRDefault="00DA218F" w:rsidP="00DA218F">
      <w:pPr>
        <w:ind w:left="360"/>
        <w:jc w:val="both"/>
      </w:pPr>
      <w:r>
        <w:t>Finally, t</w:t>
      </w:r>
      <w:r w:rsidRPr="00CD3ED6">
        <w:t xml:space="preserve">he net present value of timber </w:t>
      </w:r>
      <w:r>
        <w:t>harvest</w:t>
      </w:r>
      <w:r w:rsidRPr="00CD3ED6">
        <w:t xml:space="preserve"> for the entire </w:t>
      </w:r>
      <w:r>
        <w:t>area of parcel</w:t>
      </w:r>
      <w:r w:rsidRPr="00CD3ED6">
        <w:t xml:space="preserve"> </w:t>
      </w:r>
      <w:r w:rsidRPr="00CD3ED6">
        <w:rPr>
          <w:i/>
        </w:rPr>
        <w:t>x</w:t>
      </w:r>
      <w:r w:rsidRPr="00CD3ED6">
        <w:t xml:space="preserve"> </w:t>
      </w:r>
      <w:r>
        <w:t xml:space="preserve">from the base year to </w:t>
      </w:r>
      <w:proofErr w:type="gramStart"/>
      <w:r w:rsidRPr="003B56D9">
        <w:rPr>
          <w:i/>
        </w:rPr>
        <w:t>T</w:t>
      </w:r>
      <w:r w:rsidRPr="003B56D9">
        <w:rPr>
          <w:i/>
          <w:vertAlign w:val="subscript"/>
        </w:rPr>
        <w:t>x</w:t>
      </w:r>
      <w:proofErr w:type="gramEnd"/>
      <w:r>
        <w:t xml:space="preserve"> years later </w:t>
      </w:r>
      <w:r w:rsidRPr="00CD3ED6">
        <w:t xml:space="preserve">is given by </w:t>
      </w:r>
      <w:r w:rsidRPr="00CD3ED6">
        <w:rPr>
          <w:i/>
        </w:rPr>
        <w:t>TNPV</w:t>
      </w:r>
      <w:r w:rsidRPr="00CD3ED6">
        <w:rPr>
          <w:i/>
          <w:vertAlign w:val="subscript"/>
        </w:rPr>
        <w:t>x</w:t>
      </w:r>
      <w:r>
        <w:t>, w</w:t>
      </w:r>
      <w:r w:rsidRPr="002B7123">
        <w:t>here</w:t>
      </w:r>
      <w:r>
        <w:rPr>
          <w:i/>
        </w:rPr>
        <w:t xml:space="preserve"> Parcl_a</w:t>
      </w:r>
      <w:r w:rsidRPr="00026746">
        <w:rPr>
          <w:i/>
        </w:rPr>
        <w:t>rea</w:t>
      </w:r>
      <w:r w:rsidRPr="00026746">
        <w:rPr>
          <w:i/>
          <w:vertAlign w:val="subscript"/>
        </w:rPr>
        <w:t>x</w:t>
      </w:r>
      <w:r w:rsidRPr="00026746">
        <w:t xml:space="preserve"> is the area </w:t>
      </w:r>
      <w:r>
        <w:t>(ha</w:t>
      </w:r>
      <w:r w:rsidRPr="00795EB8">
        <w:rPr>
          <w:vertAlign w:val="superscript"/>
        </w:rPr>
        <w:t>-1</w:t>
      </w:r>
      <w:r>
        <w:t>)</w:t>
      </w:r>
      <w:r w:rsidRPr="00026746">
        <w:t xml:space="preserve"> of </w:t>
      </w:r>
      <w:r>
        <w:t>parcel</w:t>
      </w:r>
      <w:r w:rsidRPr="00026746">
        <w:t xml:space="preserve"> </w:t>
      </w:r>
      <w:r w:rsidRPr="00F34022">
        <w:rPr>
          <w:i/>
        </w:rPr>
        <w:t>x</w:t>
      </w:r>
      <w:r w:rsidRPr="00CD3ED6">
        <w:t>:</w:t>
      </w:r>
    </w:p>
    <w:p w:rsidR="00DA218F" w:rsidRDefault="00DA218F" w:rsidP="00DA218F">
      <w:pPr>
        <w:ind w:left="360"/>
        <w:jc w:val="center"/>
      </w:pPr>
      <w:r>
        <w:rPr>
          <w:noProof/>
          <w:position w:val="-8"/>
        </w:rPr>
        <w:drawing>
          <wp:inline distT="0" distB="0" distL="0" distR="0">
            <wp:extent cx="1889760" cy="193040"/>
            <wp:effectExtent l="2540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6" cstate="print"/>
                    <a:srcRect/>
                    <a:stretch>
                      <a:fillRect/>
                    </a:stretch>
                  </pic:blipFill>
                  <pic:spPr bwMode="auto">
                    <a:xfrm>
                      <a:off x="0" y="0"/>
                      <a:ext cx="1889760" cy="193040"/>
                    </a:xfrm>
                    <a:prstGeom prst="rect">
                      <a:avLst/>
                    </a:prstGeom>
                    <a:solidFill>
                      <a:srgbClr val="FFFFFF"/>
                    </a:solidFill>
                    <a:ln w="9525">
                      <a:noFill/>
                      <a:miter lim="800000"/>
                      <a:headEnd/>
                      <a:tailEnd/>
                    </a:ln>
                  </pic:spPr>
                </pic:pic>
              </a:graphicData>
            </a:graphic>
          </wp:inline>
        </w:drawing>
      </w:r>
      <w:r>
        <w:t xml:space="preserve"> </w:t>
      </w:r>
      <w:r>
        <w:tab/>
        <w:t xml:space="preserve"> (7)  </w:t>
      </w:r>
    </w:p>
    <w:p w:rsidR="00DA218F" w:rsidRDefault="00DA218F" w:rsidP="00DA218F">
      <w:pPr>
        <w:ind w:left="360"/>
        <w:jc w:val="both"/>
      </w:pPr>
      <w:r>
        <w:t xml:space="preserve">The last table entry, </w:t>
      </w:r>
      <w:r>
        <w:rPr>
          <w:i/>
        </w:rPr>
        <w:t>BCEF</w:t>
      </w:r>
      <w:r w:rsidRPr="003F64ED">
        <w:rPr>
          <w:i/>
          <w:vertAlign w:val="subscript"/>
        </w:rPr>
        <w:t>x</w:t>
      </w:r>
      <w:r>
        <w:t xml:space="preserve">, is used to transform the total volume of wood removed from a parcel from </w:t>
      </w:r>
      <w:r w:rsidRPr="003F64ED">
        <w:rPr>
          <w:i/>
        </w:rPr>
        <w:t>yr_cur</w:t>
      </w:r>
      <w:r>
        <w:t xml:space="preserve"> or </w:t>
      </w:r>
      <w:r w:rsidRPr="003F64ED">
        <w:rPr>
          <w:i/>
        </w:rPr>
        <w:t>yr_fut</w:t>
      </w:r>
      <w:r>
        <w:t xml:space="preserve"> to </w:t>
      </w:r>
      <w:r w:rsidRPr="00E87C3E">
        <w:rPr>
          <w:i/>
        </w:rPr>
        <w:t>T</w:t>
      </w:r>
      <w:r>
        <w:t xml:space="preserve"> years later (</w:t>
      </w:r>
      <w:r w:rsidRPr="00344140">
        <w:rPr>
          <w:i/>
        </w:rPr>
        <w:t>TBiomass</w:t>
      </w:r>
      <w:r w:rsidRPr="00344140">
        <w:rPr>
          <w:i/>
          <w:vertAlign w:val="subscript"/>
        </w:rPr>
        <w:t>x</w:t>
      </w:r>
      <w:r>
        <w:t xml:space="preserve">).  If </w:t>
      </w:r>
      <w:r>
        <w:rPr>
          <w:i/>
        </w:rPr>
        <w:t>Immed_harv</w:t>
      </w:r>
      <w:r w:rsidRPr="00344140">
        <w:rPr>
          <w:i/>
          <w:vertAlign w:val="subscript"/>
        </w:rPr>
        <w:t>x</w:t>
      </w:r>
      <w:r>
        <w:t xml:space="preserve"> = 1 then,</w:t>
      </w:r>
    </w:p>
    <w:p w:rsidR="00DA218F" w:rsidRDefault="00DA218F" w:rsidP="00DA218F">
      <w:pPr>
        <w:ind w:left="360" w:firstLine="720"/>
        <w:jc w:val="center"/>
      </w:pPr>
      <w:r>
        <w:rPr>
          <w:noProof/>
          <w:position w:val="-28"/>
        </w:rPr>
        <w:drawing>
          <wp:inline distT="0" distB="0" distL="0" distR="0">
            <wp:extent cx="4155440" cy="396240"/>
            <wp:effectExtent l="25400" t="0" r="1016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7" cstate="print"/>
                    <a:srcRect/>
                    <a:stretch>
                      <a:fillRect/>
                    </a:stretch>
                  </pic:blipFill>
                  <pic:spPr bwMode="auto">
                    <a:xfrm>
                      <a:off x="0" y="0"/>
                      <a:ext cx="4155440" cy="396240"/>
                    </a:xfrm>
                    <a:prstGeom prst="rect">
                      <a:avLst/>
                    </a:prstGeom>
                    <a:solidFill>
                      <a:srgbClr val="FFFFFF"/>
                    </a:solidFill>
                    <a:ln w="9525">
                      <a:noFill/>
                      <a:miter lim="800000"/>
                      <a:headEnd/>
                      <a:tailEnd/>
                    </a:ln>
                  </pic:spPr>
                </pic:pic>
              </a:graphicData>
            </a:graphic>
          </wp:inline>
        </w:drawing>
      </w:r>
      <w:r>
        <w:tab/>
      </w:r>
      <w:r>
        <w:tab/>
        <w:t>(8)</w:t>
      </w:r>
    </w:p>
    <w:p w:rsidR="00DA218F" w:rsidRDefault="00DA218F" w:rsidP="00DA218F">
      <w:pPr>
        <w:ind w:left="360"/>
        <w:jc w:val="both"/>
      </w:pPr>
      <w:r>
        <w:t xml:space="preserve">Otherwise, if </w:t>
      </w:r>
      <w:r>
        <w:rPr>
          <w:i/>
        </w:rPr>
        <w:t>Immed_harv</w:t>
      </w:r>
      <w:r w:rsidRPr="00344140">
        <w:rPr>
          <w:i/>
          <w:vertAlign w:val="subscript"/>
        </w:rPr>
        <w:t>x</w:t>
      </w:r>
      <w:r>
        <w:t xml:space="preserve"> = 0 then</w:t>
      </w:r>
    </w:p>
    <w:p w:rsidR="00DA218F" w:rsidRDefault="00DA218F" w:rsidP="00DA218F">
      <w:pPr>
        <w:ind w:left="360" w:firstLine="720"/>
        <w:jc w:val="center"/>
      </w:pPr>
      <w:r>
        <w:rPr>
          <w:noProof/>
          <w:position w:val="-28"/>
        </w:rPr>
        <w:drawing>
          <wp:inline distT="0" distB="0" distL="0" distR="0">
            <wp:extent cx="4155440" cy="396240"/>
            <wp:effectExtent l="25400" t="0" r="1016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8" cstate="print"/>
                    <a:srcRect/>
                    <a:stretch>
                      <a:fillRect/>
                    </a:stretch>
                  </pic:blipFill>
                  <pic:spPr bwMode="auto">
                    <a:xfrm>
                      <a:off x="0" y="0"/>
                      <a:ext cx="4155440" cy="396240"/>
                    </a:xfrm>
                    <a:prstGeom prst="rect">
                      <a:avLst/>
                    </a:prstGeom>
                    <a:solidFill>
                      <a:srgbClr val="FFFFFF"/>
                    </a:solidFill>
                    <a:ln w="9525">
                      <a:noFill/>
                      <a:miter lim="800000"/>
                      <a:headEnd/>
                      <a:tailEnd/>
                    </a:ln>
                  </pic:spPr>
                </pic:pic>
              </a:graphicData>
            </a:graphic>
          </wp:inline>
        </w:drawing>
      </w:r>
      <w:r>
        <w:tab/>
      </w:r>
      <w:r>
        <w:tab/>
        <w:t>(9)</w:t>
      </w:r>
    </w:p>
    <w:p w:rsidR="00DA218F" w:rsidRDefault="00DA218F" w:rsidP="00DA218F">
      <w:pPr>
        <w:ind w:left="360"/>
        <w:jc w:val="both"/>
      </w:pPr>
      <w:proofErr w:type="gramStart"/>
      <w:r>
        <w:t>and</w:t>
      </w:r>
      <w:proofErr w:type="gramEnd"/>
    </w:p>
    <w:p w:rsidR="00DA218F" w:rsidRDefault="00DA218F" w:rsidP="00DA218F">
      <w:pPr>
        <w:ind w:left="360" w:firstLine="720"/>
        <w:jc w:val="center"/>
      </w:pPr>
      <w:r>
        <w:rPr>
          <w:noProof/>
          <w:position w:val="-26"/>
        </w:rPr>
        <w:drawing>
          <wp:inline distT="0" distB="0" distL="0" distR="0">
            <wp:extent cx="1818640" cy="345440"/>
            <wp:effectExtent l="25400" t="0" r="1016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9" cstate="print"/>
                    <a:srcRect/>
                    <a:stretch>
                      <a:fillRect/>
                    </a:stretch>
                  </pic:blipFill>
                  <pic:spPr bwMode="auto">
                    <a:xfrm>
                      <a:off x="0" y="0"/>
                      <a:ext cx="1818640" cy="345440"/>
                    </a:xfrm>
                    <a:prstGeom prst="rect">
                      <a:avLst/>
                    </a:prstGeom>
                    <a:solidFill>
                      <a:srgbClr val="FFFFFF"/>
                    </a:solidFill>
                    <a:ln w="9525">
                      <a:noFill/>
                      <a:miter lim="800000"/>
                      <a:headEnd/>
                      <a:tailEnd/>
                    </a:ln>
                  </pic:spPr>
                </pic:pic>
              </a:graphicData>
            </a:graphic>
          </wp:inline>
        </w:drawing>
      </w:r>
      <w:r>
        <w:tab/>
      </w:r>
      <w:r>
        <w:tab/>
      </w:r>
      <w:r>
        <w:tab/>
        <w:t>(10).</w:t>
      </w:r>
    </w:p>
    <w:p w:rsidR="00DA218F" w:rsidRPr="000569F8" w:rsidRDefault="00DA218F" w:rsidP="00DA218F">
      <w:pPr>
        <w:jc w:val="both"/>
        <w:rPr>
          <w:sz w:val="14"/>
        </w:rPr>
      </w:pPr>
      <w:r w:rsidRPr="000569F8">
        <w:rPr>
          <w:sz w:val="14"/>
        </w:rPr>
        <w:t xml:space="preserve">  </w:t>
      </w:r>
    </w:p>
    <w:p w:rsidR="00DA218F" w:rsidRDefault="00DA218F" w:rsidP="00DA218F">
      <w:pPr>
        <w:jc w:val="both"/>
      </w:pPr>
      <w:r w:rsidRPr="0075399E">
        <w:rPr>
          <w:u w:val="single"/>
        </w:rPr>
        <w:t>Example</w:t>
      </w:r>
      <w:r>
        <w:t>: Landscape with timber production in five parcels. In this example, the first two timber parcels are managed for timber production on a 45-year even-age rotation (1/45 of the stand is harvested and then replanted each year) in perpetuity, but have different mixes of species and different management costs. Each managed timber parcel is 1000 hectares. The third timber parcel has the same species mix as the second, but ¼ of the parcel is harvested every 20 years and it will only be managed for at least another 50 years. The fourth polygon is a clear-cut of a 500 ha natural forest that is slated to become a shopping mall. The fifth parcel represents a portion of a mature, primary forest. The parcel in the larger forest that will be used for timber production is 500 ha. It will be systematically clear-cut over the next ten years and then managed as a single species plantation indefinitely (we do not account for the plantation’s expected revenues in this model).</w:t>
      </w:r>
    </w:p>
    <w:p w:rsidR="00DA218F" w:rsidRDefault="00DA218F" w:rsidP="00DA218F">
      <w:pPr>
        <w:jc w:val="both"/>
      </w:pP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3"/>
        <w:gridCol w:w="935"/>
        <w:gridCol w:w="935"/>
        <w:gridCol w:w="935"/>
        <w:gridCol w:w="935"/>
        <w:gridCol w:w="777"/>
        <w:gridCol w:w="906"/>
        <w:gridCol w:w="935"/>
        <w:gridCol w:w="561"/>
        <w:gridCol w:w="935"/>
        <w:gridCol w:w="935"/>
      </w:tblGrid>
      <w:tr w:rsidR="00DA218F" w:rsidRPr="009F4CFF" w:rsidTr="00C76404">
        <w:tc>
          <w:tcPr>
            <w:tcW w:w="1043" w:type="dxa"/>
            <w:shd w:val="clear" w:color="auto" w:fill="99CCFF"/>
          </w:tcPr>
          <w:p w:rsidR="00DA218F" w:rsidRPr="0043387D" w:rsidRDefault="00DA218F" w:rsidP="00C76404">
            <w:pPr>
              <w:jc w:val="both"/>
              <w:rPr>
                <w:b/>
                <w:sz w:val="20"/>
                <w:szCs w:val="20"/>
              </w:rPr>
            </w:pPr>
            <w:r w:rsidRPr="0043387D">
              <w:rPr>
                <w:b/>
                <w:sz w:val="20"/>
                <w:szCs w:val="20"/>
              </w:rPr>
              <w:t>Parcel_ ID</w:t>
            </w:r>
          </w:p>
        </w:tc>
        <w:tc>
          <w:tcPr>
            <w:tcW w:w="935" w:type="dxa"/>
            <w:shd w:val="clear" w:color="auto" w:fill="99CCFF"/>
          </w:tcPr>
          <w:p w:rsidR="00DA218F" w:rsidRPr="0043387D" w:rsidRDefault="00DA218F" w:rsidP="00C76404">
            <w:pPr>
              <w:jc w:val="both"/>
              <w:rPr>
                <w:b/>
                <w:sz w:val="20"/>
                <w:szCs w:val="20"/>
              </w:rPr>
            </w:pPr>
            <w:r w:rsidRPr="0043387D">
              <w:rPr>
                <w:b/>
                <w:sz w:val="20"/>
                <w:szCs w:val="20"/>
              </w:rPr>
              <w:t>Parcl_ area</w:t>
            </w:r>
          </w:p>
        </w:tc>
        <w:tc>
          <w:tcPr>
            <w:tcW w:w="935" w:type="dxa"/>
            <w:shd w:val="clear" w:color="auto" w:fill="99CCFF"/>
          </w:tcPr>
          <w:p w:rsidR="00DA218F" w:rsidRPr="0043387D" w:rsidRDefault="00DA218F" w:rsidP="00C76404">
            <w:pPr>
              <w:jc w:val="both"/>
              <w:rPr>
                <w:b/>
                <w:sz w:val="20"/>
                <w:szCs w:val="20"/>
              </w:rPr>
            </w:pPr>
            <w:r w:rsidRPr="0043387D">
              <w:rPr>
                <w:b/>
                <w:sz w:val="20"/>
                <w:szCs w:val="20"/>
              </w:rPr>
              <w:t>Perc_ harv</w:t>
            </w:r>
            <w:r w:rsidRPr="0043387D" w:rsidDel="008A159A">
              <w:rPr>
                <w:b/>
                <w:sz w:val="20"/>
                <w:szCs w:val="20"/>
              </w:rPr>
              <w:t xml:space="preserve"> </w:t>
            </w:r>
          </w:p>
        </w:tc>
        <w:tc>
          <w:tcPr>
            <w:tcW w:w="935" w:type="dxa"/>
            <w:shd w:val="clear" w:color="auto" w:fill="99CCFF"/>
          </w:tcPr>
          <w:p w:rsidR="00DA218F" w:rsidRPr="0043387D" w:rsidRDefault="00DA218F" w:rsidP="00C76404">
            <w:pPr>
              <w:jc w:val="both"/>
              <w:rPr>
                <w:b/>
                <w:sz w:val="20"/>
                <w:szCs w:val="20"/>
              </w:rPr>
            </w:pPr>
            <w:r w:rsidRPr="0043387D">
              <w:rPr>
                <w:b/>
                <w:sz w:val="20"/>
                <w:szCs w:val="20"/>
              </w:rPr>
              <w:t>Freq_     harv</w:t>
            </w:r>
          </w:p>
        </w:tc>
        <w:tc>
          <w:tcPr>
            <w:tcW w:w="935" w:type="dxa"/>
            <w:shd w:val="clear" w:color="auto" w:fill="99CCFF"/>
          </w:tcPr>
          <w:p w:rsidR="00DA218F" w:rsidRPr="0043387D" w:rsidDel="00FE7E05" w:rsidRDefault="00DA218F" w:rsidP="00C76404">
            <w:pPr>
              <w:jc w:val="both"/>
              <w:rPr>
                <w:b/>
                <w:sz w:val="20"/>
                <w:szCs w:val="20"/>
              </w:rPr>
            </w:pPr>
            <w:r w:rsidRPr="0043387D">
              <w:rPr>
                <w:b/>
                <w:sz w:val="20"/>
                <w:szCs w:val="20"/>
              </w:rPr>
              <w:t>Harv_    mass</w:t>
            </w:r>
          </w:p>
        </w:tc>
        <w:tc>
          <w:tcPr>
            <w:tcW w:w="777" w:type="dxa"/>
            <w:shd w:val="clear" w:color="auto" w:fill="99CCFF"/>
          </w:tcPr>
          <w:p w:rsidR="00DA218F" w:rsidRPr="0043387D" w:rsidRDefault="00DA218F" w:rsidP="00C76404">
            <w:pPr>
              <w:jc w:val="both"/>
              <w:rPr>
                <w:b/>
                <w:sz w:val="20"/>
                <w:szCs w:val="20"/>
              </w:rPr>
            </w:pPr>
            <w:r w:rsidRPr="0043387D">
              <w:rPr>
                <w:b/>
                <w:sz w:val="20"/>
                <w:szCs w:val="20"/>
              </w:rPr>
              <w:t>Price</w:t>
            </w:r>
          </w:p>
        </w:tc>
        <w:tc>
          <w:tcPr>
            <w:tcW w:w="906" w:type="dxa"/>
            <w:shd w:val="clear" w:color="auto" w:fill="99CCFF"/>
          </w:tcPr>
          <w:p w:rsidR="00DA218F" w:rsidRPr="0043387D" w:rsidRDefault="00DA218F" w:rsidP="00C76404">
            <w:pPr>
              <w:jc w:val="both"/>
              <w:rPr>
                <w:b/>
                <w:sz w:val="20"/>
                <w:szCs w:val="20"/>
              </w:rPr>
            </w:pPr>
            <w:r w:rsidRPr="0043387D">
              <w:rPr>
                <w:b/>
                <w:sz w:val="20"/>
                <w:szCs w:val="20"/>
              </w:rPr>
              <w:t>Maint_   cost</w:t>
            </w:r>
          </w:p>
        </w:tc>
        <w:tc>
          <w:tcPr>
            <w:tcW w:w="935" w:type="dxa"/>
            <w:shd w:val="clear" w:color="auto" w:fill="99CCFF"/>
          </w:tcPr>
          <w:p w:rsidR="00DA218F" w:rsidRPr="0043387D" w:rsidRDefault="00DA218F" w:rsidP="00C76404">
            <w:pPr>
              <w:jc w:val="both"/>
              <w:rPr>
                <w:b/>
                <w:sz w:val="20"/>
                <w:szCs w:val="20"/>
              </w:rPr>
            </w:pPr>
            <w:r w:rsidRPr="0043387D">
              <w:rPr>
                <w:b/>
                <w:sz w:val="20"/>
                <w:szCs w:val="20"/>
              </w:rPr>
              <w:t>Harv_ cost</w:t>
            </w:r>
          </w:p>
        </w:tc>
        <w:tc>
          <w:tcPr>
            <w:tcW w:w="561" w:type="dxa"/>
            <w:shd w:val="clear" w:color="auto" w:fill="99CCFF"/>
          </w:tcPr>
          <w:p w:rsidR="00DA218F" w:rsidRPr="0043387D" w:rsidRDefault="00DA218F" w:rsidP="00C76404">
            <w:pPr>
              <w:jc w:val="both"/>
              <w:rPr>
                <w:b/>
                <w:sz w:val="20"/>
                <w:szCs w:val="20"/>
              </w:rPr>
            </w:pPr>
            <w:r w:rsidRPr="0043387D">
              <w:rPr>
                <w:b/>
                <w:sz w:val="20"/>
                <w:szCs w:val="20"/>
              </w:rPr>
              <w:t>T</w:t>
            </w:r>
          </w:p>
        </w:tc>
        <w:tc>
          <w:tcPr>
            <w:tcW w:w="935" w:type="dxa"/>
            <w:shd w:val="clear" w:color="auto" w:fill="99CCFF"/>
          </w:tcPr>
          <w:p w:rsidR="00DA218F" w:rsidRPr="0043387D" w:rsidRDefault="00DA218F" w:rsidP="00C76404">
            <w:pPr>
              <w:jc w:val="both"/>
              <w:rPr>
                <w:b/>
                <w:sz w:val="20"/>
                <w:szCs w:val="20"/>
              </w:rPr>
            </w:pPr>
            <w:r w:rsidRPr="0043387D">
              <w:rPr>
                <w:b/>
                <w:sz w:val="20"/>
                <w:szCs w:val="20"/>
              </w:rPr>
              <w:t>Immed_     harv</w:t>
            </w:r>
          </w:p>
        </w:tc>
        <w:tc>
          <w:tcPr>
            <w:tcW w:w="935" w:type="dxa"/>
            <w:shd w:val="clear" w:color="auto" w:fill="99CCFF"/>
          </w:tcPr>
          <w:p w:rsidR="00DA218F" w:rsidRPr="0043387D" w:rsidRDefault="00DA218F" w:rsidP="00C76404">
            <w:pPr>
              <w:jc w:val="both"/>
              <w:rPr>
                <w:b/>
                <w:sz w:val="20"/>
                <w:szCs w:val="20"/>
              </w:rPr>
            </w:pPr>
            <w:r w:rsidRPr="0043387D">
              <w:rPr>
                <w:b/>
                <w:sz w:val="20"/>
                <w:szCs w:val="20"/>
              </w:rPr>
              <w:t>BCEF</w:t>
            </w:r>
          </w:p>
        </w:tc>
      </w:tr>
      <w:tr w:rsidR="00DA218F" w:rsidRPr="009F4CFF" w:rsidTr="00C76404">
        <w:tc>
          <w:tcPr>
            <w:tcW w:w="1043" w:type="dxa"/>
            <w:tcBorders>
              <w:bottom w:val="single" w:sz="4" w:space="0" w:color="auto"/>
            </w:tcBorders>
          </w:tcPr>
          <w:p w:rsidR="00DA218F" w:rsidRPr="0043387D" w:rsidRDefault="00DA218F" w:rsidP="00C76404">
            <w:pPr>
              <w:jc w:val="both"/>
              <w:rPr>
                <w:sz w:val="20"/>
                <w:szCs w:val="20"/>
              </w:rPr>
            </w:pPr>
            <w:r w:rsidRPr="0043387D">
              <w:rPr>
                <w:sz w:val="20"/>
                <w:szCs w:val="20"/>
              </w:rPr>
              <w:t>1</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1000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2.22</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1</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80</w:t>
            </w:r>
          </w:p>
        </w:tc>
        <w:tc>
          <w:tcPr>
            <w:tcW w:w="777" w:type="dxa"/>
            <w:tcBorders>
              <w:bottom w:val="single" w:sz="4" w:space="0" w:color="auto"/>
            </w:tcBorders>
          </w:tcPr>
          <w:p w:rsidR="00DA218F" w:rsidRPr="0043387D" w:rsidRDefault="00DA218F" w:rsidP="00C76404">
            <w:pPr>
              <w:jc w:val="both"/>
              <w:rPr>
                <w:sz w:val="20"/>
                <w:szCs w:val="20"/>
              </w:rPr>
            </w:pPr>
            <w:r w:rsidRPr="0043387D">
              <w:rPr>
                <w:sz w:val="20"/>
                <w:szCs w:val="20"/>
              </w:rPr>
              <w:t>300</w:t>
            </w:r>
          </w:p>
        </w:tc>
        <w:tc>
          <w:tcPr>
            <w:tcW w:w="906" w:type="dxa"/>
            <w:tcBorders>
              <w:bottom w:val="single" w:sz="4" w:space="0" w:color="auto"/>
            </w:tcBorders>
          </w:tcPr>
          <w:p w:rsidR="00DA218F" w:rsidRPr="0043387D" w:rsidRDefault="00DA218F" w:rsidP="00C76404">
            <w:pPr>
              <w:jc w:val="both"/>
              <w:rPr>
                <w:sz w:val="20"/>
                <w:szCs w:val="20"/>
              </w:rPr>
            </w:pPr>
            <w:r w:rsidRPr="0043387D">
              <w:rPr>
                <w:sz w:val="20"/>
                <w:szCs w:val="20"/>
              </w:rPr>
              <w:t>190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50</w:t>
            </w:r>
          </w:p>
        </w:tc>
        <w:tc>
          <w:tcPr>
            <w:tcW w:w="561" w:type="dxa"/>
            <w:tcBorders>
              <w:bottom w:val="single" w:sz="4" w:space="0" w:color="auto"/>
            </w:tcBorders>
          </w:tcPr>
          <w:p w:rsidR="00DA218F" w:rsidRPr="0043387D" w:rsidRDefault="00DA218F" w:rsidP="00C76404">
            <w:pPr>
              <w:jc w:val="both"/>
              <w:rPr>
                <w:sz w:val="20"/>
                <w:szCs w:val="20"/>
              </w:rPr>
            </w:pPr>
            <w:r w:rsidRPr="0043387D">
              <w:rPr>
                <w:sz w:val="20"/>
                <w:szCs w:val="20"/>
              </w:rPr>
              <w:t>50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Y</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1</w:t>
            </w:r>
          </w:p>
        </w:tc>
      </w:tr>
      <w:tr w:rsidR="00DA218F" w:rsidRPr="009F4CFF" w:rsidTr="00C76404">
        <w:tc>
          <w:tcPr>
            <w:tcW w:w="1043" w:type="dxa"/>
            <w:shd w:val="clear" w:color="auto" w:fill="DDDDDD"/>
          </w:tcPr>
          <w:p w:rsidR="00DA218F" w:rsidRPr="0043387D" w:rsidRDefault="00DA218F" w:rsidP="00C76404">
            <w:pPr>
              <w:jc w:val="both"/>
              <w:rPr>
                <w:sz w:val="20"/>
                <w:szCs w:val="20"/>
              </w:rPr>
            </w:pPr>
            <w:r w:rsidRPr="0043387D">
              <w:rPr>
                <w:sz w:val="20"/>
                <w:szCs w:val="20"/>
              </w:rPr>
              <w:t>2</w:t>
            </w:r>
          </w:p>
        </w:tc>
        <w:tc>
          <w:tcPr>
            <w:tcW w:w="935" w:type="dxa"/>
            <w:shd w:val="clear" w:color="auto" w:fill="DDDDDD"/>
          </w:tcPr>
          <w:p w:rsidR="00DA218F" w:rsidRPr="0043387D" w:rsidRDefault="00DA218F" w:rsidP="00C76404">
            <w:pPr>
              <w:jc w:val="both"/>
              <w:rPr>
                <w:sz w:val="20"/>
                <w:szCs w:val="20"/>
              </w:rPr>
            </w:pPr>
            <w:r w:rsidRPr="0043387D">
              <w:rPr>
                <w:sz w:val="20"/>
                <w:szCs w:val="20"/>
              </w:rPr>
              <w:t>1000</w:t>
            </w:r>
          </w:p>
        </w:tc>
        <w:tc>
          <w:tcPr>
            <w:tcW w:w="935" w:type="dxa"/>
            <w:shd w:val="clear" w:color="auto" w:fill="DDDDDD"/>
          </w:tcPr>
          <w:p w:rsidR="00DA218F" w:rsidRPr="0043387D" w:rsidRDefault="00DA218F" w:rsidP="00C76404">
            <w:pPr>
              <w:jc w:val="both"/>
              <w:rPr>
                <w:sz w:val="20"/>
                <w:szCs w:val="20"/>
              </w:rPr>
            </w:pPr>
            <w:r w:rsidRPr="0043387D">
              <w:rPr>
                <w:sz w:val="20"/>
                <w:szCs w:val="20"/>
              </w:rPr>
              <w:t>2.22</w:t>
            </w:r>
          </w:p>
        </w:tc>
        <w:tc>
          <w:tcPr>
            <w:tcW w:w="935" w:type="dxa"/>
            <w:shd w:val="clear" w:color="auto" w:fill="DDDDDD"/>
          </w:tcPr>
          <w:p w:rsidR="00DA218F" w:rsidRPr="0043387D" w:rsidRDefault="00DA218F" w:rsidP="00C76404">
            <w:pPr>
              <w:jc w:val="both"/>
              <w:rPr>
                <w:sz w:val="20"/>
                <w:szCs w:val="20"/>
              </w:rPr>
            </w:pPr>
            <w:r w:rsidRPr="0043387D">
              <w:rPr>
                <w:sz w:val="20"/>
                <w:szCs w:val="20"/>
              </w:rPr>
              <w:t>1</w:t>
            </w:r>
          </w:p>
        </w:tc>
        <w:tc>
          <w:tcPr>
            <w:tcW w:w="935" w:type="dxa"/>
            <w:shd w:val="clear" w:color="auto" w:fill="DDDDDD"/>
          </w:tcPr>
          <w:p w:rsidR="00DA218F" w:rsidRPr="0043387D" w:rsidRDefault="00DA218F" w:rsidP="00C76404">
            <w:pPr>
              <w:jc w:val="both"/>
              <w:rPr>
                <w:sz w:val="20"/>
                <w:szCs w:val="20"/>
              </w:rPr>
            </w:pPr>
            <w:r w:rsidRPr="0043387D">
              <w:rPr>
                <w:sz w:val="20"/>
                <w:szCs w:val="20"/>
              </w:rPr>
              <w:t>70</w:t>
            </w:r>
          </w:p>
        </w:tc>
        <w:tc>
          <w:tcPr>
            <w:tcW w:w="777" w:type="dxa"/>
            <w:shd w:val="clear" w:color="auto" w:fill="DDDDDD"/>
          </w:tcPr>
          <w:p w:rsidR="00DA218F" w:rsidRPr="0043387D" w:rsidRDefault="00DA218F" w:rsidP="00C76404">
            <w:pPr>
              <w:jc w:val="both"/>
              <w:rPr>
                <w:sz w:val="20"/>
                <w:szCs w:val="20"/>
              </w:rPr>
            </w:pPr>
            <w:r w:rsidRPr="0043387D">
              <w:rPr>
                <w:sz w:val="20"/>
                <w:szCs w:val="20"/>
              </w:rPr>
              <w:t>200</w:t>
            </w:r>
          </w:p>
        </w:tc>
        <w:tc>
          <w:tcPr>
            <w:tcW w:w="906" w:type="dxa"/>
            <w:shd w:val="clear" w:color="auto" w:fill="DDDDDD"/>
          </w:tcPr>
          <w:p w:rsidR="00DA218F" w:rsidRPr="0043387D" w:rsidRDefault="00DA218F" w:rsidP="00C76404">
            <w:pPr>
              <w:jc w:val="both"/>
              <w:rPr>
                <w:sz w:val="20"/>
                <w:szCs w:val="20"/>
              </w:rPr>
            </w:pPr>
            <w:r w:rsidRPr="0043387D">
              <w:rPr>
                <w:sz w:val="20"/>
                <w:szCs w:val="20"/>
              </w:rPr>
              <w:t>260</w:t>
            </w:r>
          </w:p>
        </w:tc>
        <w:tc>
          <w:tcPr>
            <w:tcW w:w="935" w:type="dxa"/>
            <w:shd w:val="clear" w:color="auto" w:fill="DDDDDD"/>
          </w:tcPr>
          <w:p w:rsidR="00DA218F" w:rsidRPr="0043387D" w:rsidRDefault="00DA218F" w:rsidP="00C76404">
            <w:pPr>
              <w:jc w:val="both"/>
              <w:rPr>
                <w:sz w:val="20"/>
                <w:szCs w:val="20"/>
              </w:rPr>
            </w:pPr>
            <w:r w:rsidRPr="0043387D">
              <w:rPr>
                <w:sz w:val="20"/>
                <w:szCs w:val="20"/>
              </w:rPr>
              <w:t>124</w:t>
            </w:r>
          </w:p>
        </w:tc>
        <w:tc>
          <w:tcPr>
            <w:tcW w:w="561" w:type="dxa"/>
            <w:shd w:val="clear" w:color="auto" w:fill="DDDDDD"/>
          </w:tcPr>
          <w:p w:rsidR="00DA218F" w:rsidRPr="0043387D" w:rsidRDefault="00DA218F" w:rsidP="00C76404">
            <w:pPr>
              <w:jc w:val="both"/>
              <w:rPr>
                <w:sz w:val="20"/>
                <w:szCs w:val="20"/>
              </w:rPr>
            </w:pPr>
            <w:r w:rsidRPr="0043387D">
              <w:rPr>
                <w:sz w:val="20"/>
                <w:szCs w:val="20"/>
              </w:rPr>
              <w:t>50</w:t>
            </w:r>
          </w:p>
        </w:tc>
        <w:tc>
          <w:tcPr>
            <w:tcW w:w="935" w:type="dxa"/>
            <w:shd w:val="clear" w:color="auto" w:fill="DDDDDD"/>
          </w:tcPr>
          <w:p w:rsidR="00DA218F" w:rsidRPr="0043387D" w:rsidRDefault="00DA218F" w:rsidP="00C76404">
            <w:pPr>
              <w:jc w:val="both"/>
              <w:rPr>
                <w:sz w:val="20"/>
                <w:szCs w:val="20"/>
              </w:rPr>
            </w:pPr>
            <w:r w:rsidRPr="0043387D">
              <w:rPr>
                <w:sz w:val="20"/>
                <w:szCs w:val="20"/>
              </w:rPr>
              <w:t>Y</w:t>
            </w:r>
          </w:p>
        </w:tc>
        <w:tc>
          <w:tcPr>
            <w:tcW w:w="935" w:type="dxa"/>
            <w:shd w:val="clear" w:color="auto" w:fill="DDDDDD"/>
          </w:tcPr>
          <w:p w:rsidR="00DA218F" w:rsidRPr="0043387D" w:rsidRDefault="00DA218F" w:rsidP="00C76404">
            <w:pPr>
              <w:jc w:val="both"/>
              <w:rPr>
                <w:sz w:val="20"/>
                <w:szCs w:val="20"/>
              </w:rPr>
            </w:pPr>
            <w:r w:rsidRPr="0043387D">
              <w:rPr>
                <w:sz w:val="20"/>
                <w:szCs w:val="20"/>
              </w:rPr>
              <w:t>1</w:t>
            </w:r>
          </w:p>
        </w:tc>
      </w:tr>
      <w:tr w:rsidR="00DA218F" w:rsidRPr="009F4CFF" w:rsidTr="00C76404">
        <w:tc>
          <w:tcPr>
            <w:tcW w:w="1043" w:type="dxa"/>
            <w:tcBorders>
              <w:bottom w:val="single" w:sz="4" w:space="0" w:color="auto"/>
            </w:tcBorders>
          </w:tcPr>
          <w:p w:rsidR="00DA218F" w:rsidRPr="0043387D" w:rsidRDefault="00DA218F" w:rsidP="00C76404">
            <w:pPr>
              <w:jc w:val="both"/>
              <w:rPr>
                <w:sz w:val="20"/>
                <w:szCs w:val="20"/>
              </w:rPr>
            </w:pPr>
            <w:r w:rsidRPr="0043387D">
              <w:rPr>
                <w:sz w:val="20"/>
                <w:szCs w:val="20"/>
              </w:rPr>
              <w:lastRenderedPageBreak/>
              <w:t>3</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1000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25</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20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70</w:t>
            </w:r>
          </w:p>
        </w:tc>
        <w:tc>
          <w:tcPr>
            <w:tcW w:w="777" w:type="dxa"/>
            <w:tcBorders>
              <w:bottom w:val="single" w:sz="4" w:space="0" w:color="auto"/>
            </w:tcBorders>
          </w:tcPr>
          <w:p w:rsidR="00DA218F" w:rsidRPr="0043387D" w:rsidRDefault="00DA218F" w:rsidP="00C76404">
            <w:pPr>
              <w:jc w:val="both"/>
              <w:rPr>
                <w:sz w:val="20"/>
                <w:szCs w:val="20"/>
              </w:rPr>
            </w:pPr>
            <w:r w:rsidRPr="0043387D">
              <w:rPr>
                <w:sz w:val="20"/>
                <w:szCs w:val="20"/>
              </w:rPr>
              <w:t>200</w:t>
            </w:r>
          </w:p>
        </w:tc>
        <w:tc>
          <w:tcPr>
            <w:tcW w:w="906" w:type="dxa"/>
            <w:tcBorders>
              <w:bottom w:val="single" w:sz="4" w:space="0" w:color="auto"/>
            </w:tcBorders>
          </w:tcPr>
          <w:p w:rsidR="00DA218F" w:rsidRPr="0043387D" w:rsidRDefault="00DA218F" w:rsidP="00C76404">
            <w:pPr>
              <w:jc w:val="both"/>
              <w:rPr>
                <w:sz w:val="20"/>
                <w:szCs w:val="20"/>
              </w:rPr>
            </w:pPr>
            <w:r w:rsidRPr="0043387D">
              <w:rPr>
                <w:sz w:val="20"/>
                <w:szCs w:val="20"/>
              </w:rPr>
              <w:t>310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225</w:t>
            </w:r>
          </w:p>
        </w:tc>
        <w:tc>
          <w:tcPr>
            <w:tcW w:w="561" w:type="dxa"/>
            <w:tcBorders>
              <w:bottom w:val="single" w:sz="4" w:space="0" w:color="auto"/>
            </w:tcBorders>
          </w:tcPr>
          <w:p w:rsidR="00DA218F" w:rsidRPr="0043387D" w:rsidRDefault="00DA218F" w:rsidP="00C76404">
            <w:pPr>
              <w:jc w:val="both"/>
              <w:rPr>
                <w:sz w:val="20"/>
                <w:szCs w:val="20"/>
              </w:rPr>
            </w:pPr>
            <w:r w:rsidRPr="0043387D">
              <w:rPr>
                <w:sz w:val="20"/>
                <w:szCs w:val="20"/>
              </w:rPr>
              <w:t>50</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N</w:t>
            </w:r>
          </w:p>
        </w:tc>
        <w:tc>
          <w:tcPr>
            <w:tcW w:w="935" w:type="dxa"/>
            <w:tcBorders>
              <w:bottom w:val="single" w:sz="4" w:space="0" w:color="auto"/>
            </w:tcBorders>
          </w:tcPr>
          <w:p w:rsidR="00DA218F" w:rsidRPr="0043387D" w:rsidRDefault="00DA218F" w:rsidP="00C76404">
            <w:pPr>
              <w:jc w:val="both"/>
              <w:rPr>
                <w:sz w:val="20"/>
                <w:szCs w:val="20"/>
              </w:rPr>
            </w:pPr>
            <w:r w:rsidRPr="0043387D">
              <w:rPr>
                <w:sz w:val="20"/>
                <w:szCs w:val="20"/>
              </w:rPr>
              <w:t>1</w:t>
            </w:r>
          </w:p>
        </w:tc>
      </w:tr>
      <w:tr w:rsidR="00DA218F" w:rsidRPr="009F4CFF" w:rsidTr="00C76404">
        <w:tc>
          <w:tcPr>
            <w:tcW w:w="1043" w:type="dxa"/>
            <w:shd w:val="clear" w:color="auto" w:fill="DDDDDD"/>
          </w:tcPr>
          <w:p w:rsidR="00DA218F" w:rsidRPr="0043387D" w:rsidRDefault="00DA218F" w:rsidP="00C76404">
            <w:pPr>
              <w:jc w:val="both"/>
              <w:rPr>
                <w:sz w:val="20"/>
                <w:szCs w:val="20"/>
              </w:rPr>
            </w:pPr>
            <w:r w:rsidRPr="0043387D">
              <w:rPr>
                <w:sz w:val="20"/>
                <w:szCs w:val="20"/>
              </w:rPr>
              <w:t>4</w:t>
            </w:r>
          </w:p>
        </w:tc>
        <w:tc>
          <w:tcPr>
            <w:tcW w:w="935" w:type="dxa"/>
            <w:shd w:val="clear" w:color="auto" w:fill="DDDDDD"/>
          </w:tcPr>
          <w:p w:rsidR="00DA218F" w:rsidRPr="0043387D" w:rsidRDefault="00DA218F" w:rsidP="00C76404">
            <w:pPr>
              <w:jc w:val="both"/>
              <w:rPr>
                <w:sz w:val="20"/>
                <w:szCs w:val="20"/>
              </w:rPr>
            </w:pPr>
            <w:r w:rsidRPr="0043387D">
              <w:rPr>
                <w:sz w:val="20"/>
                <w:szCs w:val="20"/>
              </w:rPr>
              <w:t>500</w:t>
            </w:r>
          </w:p>
        </w:tc>
        <w:tc>
          <w:tcPr>
            <w:tcW w:w="935" w:type="dxa"/>
            <w:shd w:val="clear" w:color="auto" w:fill="DDDDDD"/>
          </w:tcPr>
          <w:p w:rsidR="00DA218F" w:rsidRPr="0043387D" w:rsidRDefault="00DA218F" w:rsidP="00C76404">
            <w:pPr>
              <w:jc w:val="both"/>
              <w:rPr>
                <w:sz w:val="20"/>
                <w:szCs w:val="20"/>
              </w:rPr>
            </w:pPr>
            <w:r w:rsidRPr="0043387D">
              <w:rPr>
                <w:sz w:val="20"/>
                <w:szCs w:val="20"/>
              </w:rPr>
              <w:t>100</w:t>
            </w:r>
          </w:p>
        </w:tc>
        <w:tc>
          <w:tcPr>
            <w:tcW w:w="935" w:type="dxa"/>
            <w:shd w:val="clear" w:color="auto" w:fill="DDDDDD"/>
          </w:tcPr>
          <w:p w:rsidR="00DA218F" w:rsidRPr="0043387D" w:rsidRDefault="00DA218F" w:rsidP="00C76404">
            <w:pPr>
              <w:jc w:val="both"/>
              <w:rPr>
                <w:sz w:val="20"/>
                <w:szCs w:val="20"/>
              </w:rPr>
            </w:pPr>
            <w:r w:rsidRPr="0043387D">
              <w:rPr>
                <w:sz w:val="20"/>
                <w:szCs w:val="20"/>
              </w:rPr>
              <w:t>1</w:t>
            </w:r>
          </w:p>
        </w:tc>
        <w:tc>
          <w:tcPr>
            <w:tcW w:w="935" w:type="dxa"/>
            <w:shd w:val="clear" w:color="auto" w:fill="DDDDDD"/>
          </w:tcPr>
          <w:p w:rsidR="00DA218F" w:rsidRPr="0043387D" w:rsidRDefault="00DA218F" w:rsidP="00C76404">
            <w:pPr>
              <w:jc w:val="both"/>
              <w:rPr>
                <w:sz w:val="20"/>
                <w:szCs w:val="20"/>
              </w:rPr>
            </w:pPr>
            <w:r w:rsidRPr="0043387D">
              <w:rPr>
                <w:sz w:val="20"/>
                <w:szCs w:val="20"/>
              </w:rPr>
              <w:t>95</w:t>
            </w:r>
          </w:p>
        </w:tc>
        <w:tc>
          <w:tcPr>
            <w:tcW w:w="777" w:type="dxa"/>
            <w:shd w:val="clear" w:color="auto" w:fill="DDDDDD"/>
          </w:tcPr>
          <w:p w:rsidR="00DA218F" w:rsidRPr="0043387D" w:rsidRDefault="00DA218F" w:rsidP="00C76404">
            <w:pPr>
              <w:jc w:val="both"/>
              <w:rPr>
                <w:sz w:val="20"/>
                <w:szCs w:val="20"/>
              </w:rPr>
            </w:pPr>
            <w:r w:rsidRPr="0043387D">
              <w:rPr>
                <w:sz w:val="20"/>
                <w:szCs w:val="20"/>
              </w:rPr>
              <w:t>350</w:t>
            </w:r>
          </w:p>
        </w:tc>
        <w:tc>
          <w:tcPr>
            <w:tcW w:w="906" w:type="dxa"/>
            <w:shd w:val="clear" w:color="auto" w:fill="DDDDDD"/>
          </w:tcPr>
          <w:p w:rsidR="00DA218F" w:rsidRPr="0043387D" w:rsidRDefault="00DA218F" w:rsidP="00C76404">
            <w:pPr>
              <w:jc w:val="both"/>
              <w:rPr>
                <w:sz w:val="20"/>
                <w:szCs w:val="20"/>
              </w:rPr>
            </w:pPr>
            <w:r w:rsidRPr="0043387D">
              <w:rPr>
                <w:sz w:val="20"/>
                <w:szCs w:val="20"/>
              </w:rPr>
              <w:t>180</w:t>
            </w:r>
          </w:p>
        </w:tc>
        <w:tc>
          <w:tcPr>
            <w:tcW w:w="935" w:type="dxa"/>
            <w:shd w:val="clear" w:color="auto" w:fill="DDDDDD"/>
          </w:tcPr>
          <w:p w:rsidR="00DA218F" w:rsidRPr="0043387D" w:rsidRDefault="00DA218F" w:rsidP="00C76404">
            <w:pPr>
              <w:jc w:val="both"/>
              <w:rPr>
                <w:sz w:val="20"/>
                <w:szCs w:val="20"/>
              </w:rPr>
            </w:pPr>
            <w:r w:rsidRPr="0043387D">
              <w:rPr>
                <w:sz w:val="20"/>
                <w:szCs w:val="20"/>
              </w:rPr>
              <w:t>45</w:t>
            </w:r>
          </w:p>
        </w:tc>
        <w:tc>
          <w:tcPr>
            <w:tcW w:w="561" w:type="dxa"/>
            <w:shd w:val="clear" w:color="auto" w:fill="DDDDDD"/>
          </w:tcPr>
          <w:p w:rsidR="00DA218F" w:rsidRPr="0043387D" w:rsidRDefault="00DA218F" w:rsidP="00C76404">
            <w:pPr>
              <w:jc w:val="both"/>
              <w:rPr>
                <w:sz w:val="20"/>
                <w:szCs w:val="20"/>
              </w:rPr>
            </w:pPr>
            <w:r w:rsidRPr="0043387D">
              <w:rPr>
                <w:sz w:val="20"/>
                <w:szCs w:val="20"/>
              </w:rPr>
              <w:t>1</w:t>
            </w:r>
          </w:p>
        </w:tc>
        <w:tc>
          <w:tcPr>
            <w:tcW w:w="935" w:type="dxa"/>
            <w:shd w:val="clear" w:color="auto" w:fill="DDDDDD"/>
          </w:tcPr>
          <w:p w:rsidR="00DA218F" w:rsidRPr="0043387D" w:rsidRDefault="00DA218F" w:rsidP="00C76404">
            <w:pPr>
              <w:jc w:val="both"/>
              <w:rPr>
                <w:sz w:val="20"/>
                <w:szCs w:val="20"/>
              </w:rPr>
            </w:pPr>
            <w:r w:rsidRPr="0043387D">
              <w:rPr>
                <w:sz w:val="20"/>
                <w:szCs w:val="20"/>
              </w:rPr>
              <w:t>Y</w:t>
            </w:r>
          </w:p>
        </w:tc>
        <w:tc>
          <w:tcPr>
            <w:tcW w:w="935" w:type="dxa"/>
            <w:shd w:val="clear" w:color="auto" w:fill="DDDDDD"/>
          </w:tcPr>
          <w:p w:rsidR="00DA218F" w:rsidRPr="0043387D" w:rsidRDefault="00DA218F" w:rsidP="00C76404">
            <w:pPr>
              <w:jc w:val="both"/>
              <w:rPr>
                <w:sz w:val="20"/>
                <w:szCs w:val="20"/>
              </w:rPr>
            </w:pPr>
            <w:r w:rsidRPr="0043387D">
              <w:rPr>
                <w:sz w:val="20"/>
                <w:szCs w:val="20"/>
              </w:rPr>
              <w:t>1</w:t>
            </w:r>
          </w:p>
        </w:tc>
      </w:tr>
      <w:tr w:rsidR="00DA218F" w:rsidRPr="009F4CFF" w:rsidTr="00C76404">
        <w:tc>
          <w:tcPr>
            <w:tcW w:w="1043" w:type="dxa"/>
          </w:tcPr>
          <w:p w:rsidR="00DA218F" w:rsidRPr="0043387D" w:rsidRDefault="00DA218F" w:rsidP="00C76404">
            <w:pPr>
              <w:jc w:val="both"/>
              <w:rPr>
                <w:sz w:val="20"/>
                <w:szCs w:val="20"/>
              </w:rPr>
            </w:pPr>
            <w:r w:rsidRPr="0043387D">
              <w:rPr>
                <w:sz w:val="20"/>
                <w:szCs w:val="20"/>
              </w:rPr>
              <w:t>5</w:t>
            </w:r>
          </w:p>
        </w:tc>
        <w:tc>
          <w:tcPr>
            <w:tcW w:w="935" w:type="dxa"/>
          </w:tcPr>
          <w:p w:rsidR="00DA218F" w:rsidRPr="0043387D" w:rsidRDefault="00DA218F" w:rsidP="00C76404">
            <w:pPr>
              <w:jc w:val="both"/>
              <w:rPr>
                <w:sz w:val="20"/>
                <w:szCs w:val="20"/>
              </w:rPr>
            </w:pPr>
            <w:r w:rsidRPr="0043387D">
              <w:rPr>
                <w:sz w:val="20"/>
                <w:szCs w:val="20"/>
              </w:rPr>
              <w:t>500</w:t>
            </w:r>
          </w:p>
        </w:tc>
        <w:tc>
          <w:tcPr>
            <w:tcW w:w="935" w:type="dxa"/>
          </w:tcPr>
          <w:p w:rsidR="00DA218F" w:rsidRPr="0043387D" w:rsidRDefault="00DA218F" w:rsidP="00C76404">
            <w:pPr>
              <w:jc w:val="both"/>
              <w:rPr>
                <w:sz w:val="20"/>
                <w:szCs w:val="20"/>
              </w:rPr>
            </w:pPr>
            <w:r w:rsidRPr="0043387D">
              <w:rPr>
                <w:sz w:val="20"/>
                <w:szCs w:val="20"/>
              </w:rPr>
              <w:t>20</w:t>
            </w:r>
          </w:p>
        </w:tc>
        <w:tc>
          <w:tcPr>
            <w:tcW w:w="935" w:type="dxa"/>
          </w:tcPr>
          <w:p w:rsidR="00DA218F" w:rsidRPr="0043387D" w:rsidRDefault="00DA218F" w:rsidP="00C76404">
            <w:pPr>
              <w:jc w:val="both"/>
              <w:rPr>
                <w:sz w:val="20"/>
                <w:szCs w:val="20"/>
              </w:rPr>
            </w:pPr>
            <w:r w:rsidRPr="0043387D">
              <w:rPr>
                <w:sz w:val="20"/>
                <w:szCs w:val="20"/>
              </w:rPr>
              <w:t>2</w:t>
            </w:r>
          </w:p>
        </w:tc>
        <w:tc>
          <w:tcPr>
            <w:tcW w:w="935" w:type="dxa"/>
          </w:tcPr>
          <w:p w:rsidR="00DA218F" w:rsidRPr="0043387D" w:rsidRDefault="00DA218F" w:rsidP="00C76404">
            <w:pPr>
              <w:jc w:val="both"/>
              <w:rPr>
                <w:sz w:val="20"/>
                <w:szCs w:val="20"/>
              </w:rPr>
            </w:pPr>
            <w:r w:rsidRPr="0043387D">
              <w:rPr>
                <w:sz w:val="20"/>
                <w:szCs w:val="20"/>
              </w:rPr>
              <w:t>95</w:t>
            </w:r>
          </w:p>
        </w:tc>
        <w:tc>
          <w:tcPr>
            <w:tcW w:w="777" w:type="dxa"/>
          </w:tcPr>
          <w:p w:rsidR="00DA218F" w:rsidRPr="0043387D" w:rsidRDefault="00DA218F" w:rsidP="00C76404">
            <w:pPr>
              <w:jc w:val="both"/>
              <w:rPr>
                <w:sz w:val="20"/>
                <w:szCs w:val="20"/>
              </w:rPr>
            </w:pPr>
            <w:r w:rsidRPr="0043387D">
              <w:rPr>
                <w:sz w:val="20"/>
                <w:szCs w:val="20"/>
              </w:rPr>
              <w:t>400</w:t>
            </w:r>
          </w:p>
        </w:tc>
        <w:tc>
          <w:tcPr>
            <w:tcW w:w="906" w:type="dxa"/>
          </w:tcPr>
          <w:p w:rsidR="00DA218F" w:rsidRPr="0043387D" w:rsidRDefault="00DA218F" w:rsidP="00C76404">
            <w:pPr>
              <w:jc w:val="both"/>
              <w:rPr>
                <w:sz w:val="20"/>
                <w:szCs w:val="20"/>
              </w:rPr>
            </w:pPr>
            <w:r w:rsidRPr="0043387D">
              <w:rPr>
                <w:sz w:val="20"/>
                <w:szCs w:val="20"/>
              </w:rPr>
              <w:t>190</w:t>
            </w:r>
          </w:p>
        </w:tc>
        <w:tc>
          <w:tcPr>
            <w:tcW w:w="935" w:type="dxa"/>
          </w:tcPr>
          <w:p w:rsidR="00DA218F" w:rsidRPr="0043387D" w:rsidRDefault="00DA218F" w:rsidP="00C76404">
            <w:pPr>
              <w:jc w:val="both"/>
              <w:rPr>
                <w:sz w:val="20"/>
                <w:szCs w:val="20"/>
              </w:rPr>
            </w:pPr>
            <w:r w:rsidRPr="0043387D">
              <w:rPr>
                <w:sz w:val="20"/>
                <w:szCs w:val="20"/>
              </w:rPr>
              <w:t>105</w:t>
            </w:r>
          </w:p>
        </w:tc>
        <w:tc>
          <w:tcPr>
            <w:tcW w:w="561" w:type="dxa"/>
          </w:tcPr>
          <w:p w:rsidR="00DA218F" w:rsidRPr="0043387D" w:rsidRDefault="00DA218F" w:rsidP="00C76404">
            <w:pPr>
              <w:jc w:val="both"/>
              <w:rPr>
                <w:sz w:val="20"/>
                <w:szCs w:val="20"/>
              </w:rPr>
            </w:pPr>
            <w:r w:rsidRPr="0043387D">
              <w:rPr>
                <w:sz w:val="20"/>
                <w:szCs w:val="20"/>
              </w:rPr>
              <w:t>10</w:t>
            </w:r>
          </w:p>
        </w:tc>
        <w:tc>
          <w:tcPr>
            <w:tcW w:w="935" w:type="dxa"/>
          </w:tcPr>
          <w:p w:rsidR="00DA218F" w:rsidRPr="0043387D" w:rsidRDefault="00DA218F" w:rsidP="00C76404">
            <w:pPr>
              <w:jc w:val="both"/>
              <w:rPr>
                <w:sz w:val="20"/>
                <w:szCs w:val="20"/>
              </w:rPr>
            </w:pPr>
            <w:r w:rsidRPr="0043387D">
              <w:rPr>
                <w:sz w:val="20"/>
                <w:szCs w:val="20"/>
              </w:rPr>
              <w:t>Y</w:t>
            </w:r>
          </w:p>
        </w:tc>
        <w:tc>
          <w:tcPr>
            <w:tcW w:w="935" w:type="dxa"/>
          </w:tcPr>
          <w:p w:rsidR="00DA218F" w:rsidRPr="0043387D" w:rsidRDefault="00DA218F" w:rsidP="00C76404">
            <w:pPr>
              <w:jc w:val="both"/>
              <w:rPr>
                <w:sz w:val="20"/>
                <w:szCs w:val="20"/>
              </w:rPr>
            </w:pPr>
            <w:r w:rsidRPr="0043387D">
              <w:rPr>
                <w:sz w:val="20"/>
                <w:szCs w:val="20"/>
              </w:rPr>
              <w:t>1</w:t>
            </w:r>
          </w:p>
        </w:tc>
      </w:tr>
    </w:tbl>
    <w:p w:rsidR="00DA218F" w:rsidRDefault="00DA218F" w:rsidP="00DA218F">
      <w:pPr>
        <w:pStyle w:val="Heading2"/>
        <w:ind w:left="-270"/>
        <w:jc w:val="both"/>
        <w:rPr>
          <w:rFonts w:ascii="Cambria" w:hAnsi="Cambria"/>
        </w:rPr>
      </w:pPr>
      <w:bookmarkStart w:id="25" w:name="_toc1328"/>
      <w:bookmarkEnd w:id="25"/>
    </w:p>
    <w:p w:rsidR="00DA218F" w:rsidRPr="00E804C4" w:rsidRDefault="00DA218F" w:rsidP="00DA218F">
      <w:pPr>
        <w:pStyle w:val="Heading2"/>
        <w:ind w:left="-270"/>
        <w:jc w:val="both"/>
        <w:rPr>
          <w:rFonts w:ascii="Cambria" w:hAnsi="Cambria"/>
        </w:rPr>
      </w:pPr>
      <w:bookmarkStart w:id="26" w:name="_Toc158980620"/>
      <w:r>
        <w:rPr>
          <w:rFonts w:ascii="Cambria" w:hAnsi="Cambria"/>
        </w:rPr>
        <w:t>Ru</w:t>
      </w:r>
      <w:r w:rsidRPr="00E804C4">
        <w:rPr>
          <w:rFonts w:ascii="Cambria" w:hAnsi="Cambria"/>
        </w:rPr>
        <w:t>nning the Model</w:t>
      </w:r>
      <w:bookmarkEnd w:id="26"/>
    </w:p>
    <w:p w:rsidR="00DA218F" w:rsidRPr="009568AA" w:rsidRDefault="00DA218F" w:rsidP="00DA218F">
      <w:pPr>
        <w:jc w:val="both"/>
        <w:rPr>
          <w:sz w:val="16"/>
        </w:rPr>
      </w:pPr>
      <w:r w:rsidRPr="009568AA">
        <w:rPr>
          <w:sz w:val="16"/>
        </w:rPr>
        <w:t xml:space="preserve"> </w:t>
      </w:r>
    </w:p>
    <w:p w:rsidR="00DA218F" w:rsidRDefault="00DA218F" w:rsidP="00DA218F">
      <w:pPr>
        <w:jc w:val="both"/>
      </w:pPr>
      <w:r>
        <w:t xml:space="preserve">Before running the Timber Model, first make sure that the </w:t>
      </w:r>
      <w:r>
        <w:rPr>
          <w:smallCaps/>
        </w:rPr>
        <w:t>InVEST</w:t>
      </w:r>
      <w:r>
        <w:t xml:space="preserve"> toolbox has been added to your </w:t>
      </w:r>
      <w:r w:rsidRPr="007C1FF6">
        <w:rPr>
          <w:smallCaps/>
        </w:rPr>
        <w:t>ArcMap</w:t>
      </w:r>
      <w:r>
        <w:t xml:space="preserve"> document, as described in the </w:t>
      </w:r>
      <w:r w:rsidRPr="00FB628F">
        <w:rPr>
          <w:b/>
        </w:rPr>
        <w:t>Getting Started</w:t>
      </w:r>
      <w:r>
        <w:t xml:space="preserve"> chapter of this manual. Second, make sure that you have prepared the required input data files according to the specifications in </w:t>
      </w:r>
      <w:r w:rsidRPr="00A1265D">
        <w:rPr>
          <w:i/>
        </w:rPr>
        <w:t>Data Needs</w:t>
      </w:r>
      <w:r>
        <w:t>. Specifically, you will need (1) a shapefile or raster file showing the locations of different timber management zones in the landscape; (2) a table with data on harvest frequency and amount, and the price of timber and cost of harvest; and (3) the discount rate for timber, if other than the 7% US government estimate.</w:t>
      </w:r>
    </w:p>
    <w:p w:rsidR="00DA218F" w:rsidRDefault="00DA218F" w:rsidP="00DA218F">
      <w:pPr>
        <w:jc w:val="both"/>
      </w:pPr>
    </w:p>
    <w:p w:rsidR="00DA218F" w:rsidRDefault="00DA218F" w:rsidP="00DA218F">
      <w:pPr>
        <w:pStyle w:val="ColorfulShading-Accent31"/>
        <w:numPr>
          <w:ilvl w:val="0"/>
          <w:numId w:val="7"/>
        </w:numPr>
        <w:tabs>
          <w:tab w:val="left" w:pos="720"/>
        </w:tabs>
        <w:suppressAutoHyphens/>
        <w:spacing w:after="200"/>
        <w:contextualSpacing w:val="0"/>
        <w:jc w:val="both"/>
        <w:rPr>
          <w:rFonts w:ascii="Times New Roman" w:hAnsi="Times New Roman"/>
          <w:sz w:val="24"/>
          <w:szCs w:val="24"/>
        </w:rPr>
      </w:pPr>
      <w:r>
        <w:rPr>
          <w:rFonts w:ascii="Times New Roman" w:hAnsi="Times New Roman"/>
          <w:sz w:val="24"/>
          <w:szCs w:val="24"/>
        </w:rPr>
        <w:t>Identify workspace</w:t>
      </w:r>
    </w:p>
    <w:p w:rsidR="00DA218F" w:rsidRDefault="00DA218F" w:rsidP="00DA218F">
      <w:pPr>
        <w:ind w:left="720"/>
        <w:jc w:val="both"/>
      </w:pPr>
      <w:r w:rsidRPr="00FF666C">
        <w:t>If you are using your own data, you need to first create a workspace</w:t>
      </w:r>
      <w:r>
        <w:t xml:space="preserve">, or folder for the analysis data, on your computer hard-drive. </w:t>
      </w:r>
      <w:r w:rsidRPr="00FF666C">
        <w:t>The entire pathname to the workspa</w:t>
      </w:r>
      <w:r>
        <w:t xml:space="preserve">ce should not have any spaces. </w:t>
      </w:r>
      <w:r w:rsidRPr="00FF666C">
        <w:t>All your out</w:t>
      </w:r>
      <w:r>
        <w:t xml:space="preserve">put files will be dumped here. </w:t>
      </w:r>
      <w:r w:rsidRPr="00FF666C">
        <w:t xml:space="preserve">For simplicity, you may </w:t>
      </w:r>
      <w:r>
        <w:t xml:space="preserve">wish to call the folder for your workspace “timber” and </w:t>
      </w:r>
      <w:r w:rsidRPr="00FF666C">
        <w:t>create a folder in your workspace called “input” and p</w:t>
      </w:r>
      <w:r>
        <w:t>lace all your input files here.</w:t>
      </w:r>
      <w:r w:rsidRPr="00FF666C">
        <w:t xml:space="preserve"> It’s not necessary to place input files in the workspace, but advisable so you can easily see the data you use to run your model.  </w:t>
      </w:r>
    </w:p>
    <w:p w:rsidR="00DA218F" w:rsidRPr="00FF666C" w:rsidRDefault="00DA218F" w:rsidP="00DA218F">
      <w:pPr>
        <w:ind w:left="720"/>
        <w:jc w:val="both"/>
      </w:pPr>
    </w:p>
    <w:p w:rsidR="00DA218F" w:rsidRPr="00B778A8" w:rsidRDefault="00DA218F" w:rsidP="00DA218F">
      <w:pPr>
        <w:pStyle w:val="ColorfulShading-Accent31"/>
        <w:jc w:val="both"/>
        <w:rPr>
          <w:rFonts w:ascii="Times New Roman" w:hAnsi="Times New Roman"/>
          <w:sz w:val="24"/>
          <w:szCs w:val="24"/>
        </w:rPr>
      </w:pPr>
      <w:r>
        <w:rPr>
          <w:rFonts w:ascii="Times New Roman" w:hAnsi="Times New Roman"/>
          <w:sz w:val="24"/>
          <w:szCs w:val="24"/>
        </w:rPr>
        <w:t>Or, i</w:t>
      </w:r>
      <w:r w:rsidRPr="00B778A8">
        <w:rPr>
          <w:rFonts w:ascii="Times New Roman" w:hAnsi="Times New Roman"/>
          <w:sz w:val="24"/>
          <w:szCs w:val="24"/>
        </w:rPr>
        <w:t>f this is your first time using t</w:t>
      </w:r>
      <w:r>
        <w:rPr>
          <w:rFonts w:ascii="Times New Roman" w:hAnsi="Times New Roman"/>
          <w:sz w:val="24"/>
          <w:szCs w:val="24"/>
        </w:rPr>
        <w:t>he tool and you wish to use sample</w:t>
      </w:r>
      <w:r w:rsidRPr="00B778A8">
        <w:rPr>
          <w:rFonts w:ascii="Times New Roman" w:hAnsi="Times New Roman"/>
          <w:sz w:val="24"/>
          <w:szCs w:val="24"/>
        </w:rPr>
        <w:t xml:space="preserve"> data, you can use the data provided in </w:t>
      </w:r>
      <w:r>
        <w:rPr>
          <w:rFonts w:ascii="Times New Roman" w:hAnsi="Times New Roman"/>
          <w:sz w:val="24"/>
          <w:szCs w:val="24"/>
        </w:rPr>
        <w:t>InVEST-Setup.exe.</w:t>
      </w:r>
      <w:r w:rsidRPr="00B778A8">
        <w:rPr>
          <w:rFonts w:ascii="Times New Roman" w:hAnsi="Times New Roman"/>
          <w:sz w:val="24"/>
          <w:szCs w:val="24"/>
        </w:rPr>
        <w:t xml:space="preserve"> If you unzipped the </w:t>
      </w:r>
      <w:r>
        <w:rPr>
          <w:rFonts w:ascii="Times New Roman" w:hAnsi="Times New Roman"/>
          <w:sz w:val="24"/>
          <w:szCs w:val="24"/>
        </w:rPr>
        <w:t>InVEST</w:t>
      </w:r>
      <w:r w:rsidRPr="00B778A8">
        <w:rPr>
          <w:rFonts w:ascii="Times New Roman" w:hAnsi="Times New Roman"/>
          <w:sz w:val="24"/>
          <w:szCs w:val="24"/>
        </w:rPr>
        <w:t xml:space="preserve"> files to your C-drive (as described in the </w:t>
      </w:r>
      <w:r w:rsidRPr="00B778A8">
        <w:rPr>
          <w:rFonts w:ascii="Times New Roman" w:hAnsi="Times New Roman"/>
          <w:b/>
          <w:sz w:val="24"/>
          <w:szCs w:val="24"/>
        </w:rPr>
        <w:t>Getting Started</w:t>
      </w:r>
      <w:r w:rsidRPr="00B778A8">
        <w:rPr>
          <w:rFonts w:ascii="Times New Roman" w:hAnsi="Times New Roman"/>
          <w:sz w:val="24"/>
          <w:szCs w:val="24"/>
        </w:rPr>
        <w:t xml:space="preserve"> chapter</w:t>
      </w:r>
      <w:r>
        <w:rPr>
          <w:rFonts w:ascii="Times New Roman" w:hAnsi="Times New Roman"/>
          <w:sz w:val="24"/>
          <w:szCs w:val="24"/>
        </w:rPr>
        <w:t>)</w:t>
      </w:r>
      <w:r w:rsidRPr="00B778A8">
        <w:rPr>
          <w:rFonts w:ascii="Times New Roman" w:hAnsi="Times New Roman"/>
          <w:sz w:val="24"/>
          <w:szCs w:val="24"/>
        </w:rPr>
        <w:t xml:space="preserve">, you should see a folder called </w:t>
      </w:r>
      <w:r>
        <w:rPr>
          <w:rFonts w:ascii="Times New Roman" w:hAnsi="Times New Roman"/>
          <w:sz w:val="24"/>
          <w:szCs w:val="24"/>
        </w:rPr>
        <w:t>/Invest</w:t>
      </w:r>
      <w:r w:rsidRPr="00B778A8">
        <w:rPr>
          <w:rFonts w:ascii="Times New Roman" w:hAnsi="Times New Roman"/>
          <w:sz w:val="24"/>
          <w:szCs w:val="24"/>
        </w:rPr>
        <w:t>/</w:t>
      </w:r>
      <w:r>
        <w:rPr>
          <w:rFonts w:ascii="Times New Roman" w:hAnsi="Times New Roman"/>
          <w:b/>
          <w:sz w:val="24"/>
          <w:szCs w:val="24"/>
        </w:rPr>
        <w:t>timber</w:t>
      </w:r>
      <w:r>
        <w:rPr>
          <w:rFonts w:ascii="Times New Roman" w:hAnsi="Times New Roman"/>
          <w:sz w:val="24"/>
          <w:szCs w:val="24"/>
        </w:rPr>
        <w:t>.</w:t>
      </w:r>
      <w:r w:rsidRPr="00B778A8">
        <w:rPr>
          <w:rFonts w:ascii="Times New Roman" w:hAnsi="Times New Roman"/>
          <w:sz w:val="24"/>
          <w:szCs w:val="24"/>
        </w:rPr>
        <w:t xml:space="preserve"> This</w:t>
      </w:r>
      <w:r>
        <w:rPr>
          <w:rFonts w:ascii="Times New Roman" w:hAnsi="Times New Roman"/>
          <w:sz w:val="24"/>
          <w:szCs w:val="24"/>
        </w:rPr>
        <w:t xml:space="preserve"> folder will be your workspace.</w:t>
      </w:r>
      <w:r w:rsidRPr="00B778A8">
        <w:rPr>
          <w:rFonts w:ascii="Times New Roman" w:hAnsi="Times New Roman"/>
          <w:sz w:val="24"/>
          <w:szCs w:val="24"/>
        </w:rPr>
        <w:t xml:space="preserve"> The input files are in a folder called </w:t>
      </w:r>
      <w:r>
        <w:rPr>
          <w:rFonts w:ascii="Times New Roman" w:hAnsi="Times New Roman"/>
          <w:sz w:val="24"/>
          <w:szCs w:val="24"/>
        </w:rPr>
        <w:t>/Invest</w:t>
      </w:r>
      <w:r w:rsidRPr="00B778A8">
        <w:rPr>
          <w:rFonts w:ascii="Times New Roman" w:hAnsi="Times New Roman"/>
          <w:sz w:val="24"/>
          <w:szCs w:val="24"/>
        </w:rPr>
        <w:t>/</w:t>
      </w:r>
      <w:r>
        <w:rPr>
          <w:rFonts w:ascii="Times New Roman" w:hAnsi="Times New Roman"/>
          <w:sz w:val="24"/>
          <w:szCs w:val="24"/>
        </w:rPr>
        <w:t>timber</w:t>
      </w:r>
      <w:r w:rsidRPr="00B778A8">
        <w:rPr>
          <w:rFonts w:ascii="Times New Roman" w:hAnsi="Times New Roman"/>
          <w:sz w:val="24"/>
          <w:szCs w:val="24"/>
        </w:rPr>
        <w:t>/</w:t>
      </w:r>
      <w:r w:rsidRPr="00B778A8">
        <w:rPr>
          <w:rFonts w:ascii="Times New Roman" w:hAnsi="Times New Roman"/>
          <w:b/>
          <w:sz w:val="24"/>
          <w:szCs w:val="24"/>
        </w:rPr>
        <w:t>input</w:t>
      </w:r>
      <w:r w:rsidRPr="00B778A8">
        <w:rPr>
          <w:rFonts w:ascii="Times New Roman" w:hAnsi="Times New Roman"/>
          <w:sz w:val="24"/>
          <w:szCs w:val="24"/>
        </w:rPr>
        <w:t xml:space="preserve"> and in </w:t>
      </w:r>
      <w:r>
        <w:rPr>
          <w:rFonts w:ascii="Times New Roman" w:hAnsi="Times New Roman"/>
          <w:sz w:val="24"/>
          <w:szCs w:val="24"/>
        </w:rPr>
        <w:t>/Invest</w:t>
      </w:r>
      <w:r w:rsidRPr="00B778A8">
        <w:rPr>
          <w:rFonts w:ascii="Times New Roman" w:hAnsi="Times New Roman"/>
          <w:sz w:val="24"/>
          <w:szCs w:val="24"/>
        </w:rPr>
        <w:t>/</w:t>
      </w:r>
      <w:r w:rsidRPr="00B778A8">
        <w:rPr>
          <w:rFonts w:ascii="Times New Roman" w:hAnsi="Times New Roman"/>
          <w:b/>
          <w:sz w:val="24"/>
          <w:szCs w:val="24"/>
        </w:rPr>
        <w:t>base_data</w:t>
      </w:r>
      <w:r w:rsidRPr="00B778A8">
        <w:rPr>
          <w:rFonts w:ascii="Times New Roman" w:hAnsi="Times New Roman"/>
          <w:sz w:val="24"/>
          <w:szCs w:val="24"/>
        </w:rPr>
        <w:t xml:space="preserve">.  </w:t>
      </w:r>
    </w:p>
    <w:p w:rsidR="00DA218F" w:rsidRDefault="00DA218F" w:rsidP="00DA218F">
      <w:pPr>
        <w:pStyle w:val="ColorfulShading-Accent31"/>
        <w:jc w:val="both"/>
        <w:rPr>
          <w:rFonts w:ascii="Times New Roman" w:hAnsi="Times New Roman"/>
          <w:sz w:val="24"/>
          <w:szCs w:val="24"/>
        </w:rPr>
      </w:pPr>
    </w:p>
    <w:p w:rsidR="00DA218F" w:rsidRPr="00806481" w:rsidRDefault="00DA218F" w:rsidP="00DA218F">
      <w:pPr>
        <w:pStyle w:val="ColorfulShading-Accent31"/>
        <w:numPr>
          <w:ilvl w:val="0"/>
          <w:numId w:val="4"/>
        </w:numPr>
        <w:contextualSpacing w:val="0"/>
        <w:jc w:val="both"/>
        <w:rPr>
          <w:rFonts w:ascii="Times New Roman" w:hAnsi="Times New Roman"/>
          <w:sz w:val="24"/>
          <w:szCs w:val="24"/>
        </w:rPr>
      </w:pPr>
      <w:r>
        <w:rPr>
          <w:rFonts w:ascii="Times New Roman" w:hAnsi="Times New Roman"/>
          <w:sz w:val="24"/>
          <w:szCs w:val="24"/>
        </w:rPr>
        <w:t>O</w:t>
      </w:r>
      <w:r w:rsidRPr="00A1265D">
        <w:rPr>
          <w:rFonts w:ascii="Times New Roman" w:hAnsi="Times New Roman"/>
          <w:sz w:val="24"/>
          <w:szCs w:val="24"/>
        </w:rPr>
        <w:t>pen</w:t>
      </w:r>
      <w:r>
        <w:rPr>
          <w:rFonts w:ascii="Times New Roman" w:hAnsi="Times New Roman"/>
          <w:sz w:val="24"/>
          <w:szCs w:val="24"/>
        </w:rPr>
        <w:t xml:space="preserve"> an</w:t>
      </w:r>
      <w:r w:rsidRPr="00A1265D">
        <w:rPr>
          <w:rFonts w:ascii="Times New Roman" w:hAnsi="Times New Roman"/>
          <w:sz w:val="24"/>
          <w:szCs w:val="24"/>
        </w:rPr>
        <w:t xml:space="preserve"> </w:t>
      </w:r>
      <w:r w:rsidRPr="00A1265D">
        <w:rPr>
          <w:rFonts w:ascii="Times New Roman" w:hAnsi="Times New Roman"/>
          <w:smallCaps/>
          <w:sz w:val="24"/>
          <w:szCs w:val="24"/>
        </w:rPr>
        <w:t>ArcMap</w:t>
      </w:r>
      <w:r>
        <w:rPr>
          <w:rFonts w:ascii="Times New Roman" w:hAnsi="Times New Roman"/>
          <w:sz w:val="24"/>
          <w:szCs w:val="24"/>
        </w:rPr>
        <w:t xml:space="preserve"> document to run your model.  </w:t>
      </w:r>
    </w:p>
    <w:p w:rsidR="00DA218F" w:rsidRDefault="00DA218F" w:rsidP="00DA218F">
      <w:pPr>
        <w:pStyle w:val="ColorfulShading-Accent31"/>
        <w:numPr>
          <w:ilvl w:val="0"/>
          <w:numId w:val="4"/>
        </w:numPr>
        <w:contextualSpacing w:val="0"/>
        <w:jc w:val="both"/>
        <w:rPr>
          <w:rFonts w:ascii="Times New Roman" w:hAnsi="Times New Roman"/>
          <w:sz w:val="24"/>
          <w:szCs w:val="24"/>
        </w:rPr>
      </w:pPr>
      <w:r>
        <w:rPr>
          <w:rFonts w:ascii="Times New Roman" w:hAnsi="Times New Roman"/>
          <w:noProof/>
        </w:rPr>
        <w:drawing>
          <wp:anchor distT="0" distB="0" distL="114300" distR="114300" simplePos="0" relativeHeight="251661312" behindDoc="0" locked="0" layoutInCell="1" allowOverlap="1">
            <wp:simplePos x="0" y="0"/>
            <wp:positionH relativeFrom="column">
              <wp:posOffset>6293485</wp:posOffset>
            </wp:positionH>
            <wp:positionV relativeFrom="paragraph">
              <wp:posOffset>121920</wp:posOffset>
            </wp:positionV>
            <wp:extent cx="228600" cy="266700"/>
            <wp:effectExtent l="50800" t="25400" r="25400" b="12700"/>
            <wp:wrapSquare wrapText="bothSides"/>
            <wp:docPr id="1107" name="Picture 1107" descr="arctoolbox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arctoolbox_button"/>
                    <pic:cNvPicPr>
                      <a:picLocks noChangeAspect="1" noChangeArrowheads="1"/>
                    </pic:cNvPicPr>
                  </pic:nvPicPr>
                  <pic:blipFill>
                    <a:blip r:embed="rId20" cstate="print"/>
                    <a:srcRect/>
                    <a:stretch>
                      <a:fillRect/>
                    </a:stretch>
                  </pic:blipFill>
                  <pic:spPr bwMode="auto">
                    <a:xfrm>
                      <a:off x="0" y="0"/>
                      <a:ext cx="228600" cy="266700"/>
                    </a:xfrm>
                    <a:prstGeom prst="rect">
                      <a:avLst/>
                    </a:prstGeom>
                    <a:noFill/>
                    <a:ln w="9525">
                      <a:solidFill>
                        <a:srgbClr val="000000"/>
                      </a:solidFill>
                      <a:miter lim="800000"/>
                      <a:headEnd/>
                      <a:tailEnd/>
                    </a:ln>
                  </pic:spPr>
                </pic:pic>
              </a:graphicData>
            </a:graphic>
          </wp:anchor>
        </w:drawing>
      </w:r>
      <w:r w:rsidRPr="00FF666C">
        <w:rPr>
          <w:rFonts w:ascii="Times New Roman" w:hAnsi="Times New Roman"/>
          <w:noProof/>
          <w:sz w:val="24"/>
          <w:szCs w:val="24"/>
        </w:rPr>
        <w:t>Find</w:t>
      </w:r>
      <w:r>
        <w:rPr>
          <w:rFonts w:ascii="Times New Roman" w:hAnsi="Times New Roman"/>
          <w:noProof/>
          <w:sz w:val="24"/>
          <w:szCs w:val="24"/>
        </w:rPr>
        <w:t xml:space="preserve"> the</w:t>
      </w:r>
      <w:r w:rsidRPr="00FF666C">
        <w:rPr>
          <w:rFonts w:ascii="Times New Roman" w:hAnsi="Times New Roman"/>
          <w:noProof/>
          <w:sz w:val="24"/>
          <w:szCs w:val="24"/>
        </w:rPr>
        <w:t xml:space="preserve"> </w:t>
      </w:r>
      <w:r w:rsidRPr="00FF666C">
        <w:rPr>
          <w:rFonts w:ascii="Times New Roman" w:hAnsi="Times New Roman"/>
          <w:smallCaps/>
          <w:noProof/>
          <w:sz w:val="24"/>
          <w:szCs w:val="24"/>
        </w:rPr>
        <w:t>InVEST</w:t>
      </w:r>
      <w:r w:rsidRPr="00FF666C">
        <w:rPr>
          <w:rFonts w:ascii="Times New Roman" w:hAnsi="Times New Roman"/>
          <w:noProof/>
          <w:sz w:val="24"/>
          <w:szCs w:val="24"/>
        </w:rPr>
        <w:t xml:space="preserve"> toolbox</w:t>
      </w:r>
      <w:r w:rsidRPr="00FF666C">
        <w:rPr>
          <w:rFonts w:ascii="Times New Roman" w:hAnsi="Times New Roman"/>
          <w:sz w:val="24"/>
          <w:szCs w:val="24"/>
        </w:rPr>
        <w:t xml:space="preserve"> in </w:t>
      </w:r>
      <w:r w:rsidRPr="00FF666C">
        <w:rPr>
          <w:rFonts w:ascii="Times New Roman" w:hAnsi="Times New Roman"/>
          <w:smallCaps/>
          <w:sz w:val="24"/>
          <w:szCs w:val="24"/>
        </w:rPr>
        <w:t>ArcToolbox</w:t>
      </w:r>
      <w:r w:rsidRPr="00FF666C">
        <w:rPr>
          <w:rFonts w:ascii="Times New Roman" w:hAnsi="Times New Roman"/>
          <w:sz w:val="24"/>
          <w:szCs w:val="24"/>
        </w:rPr>
        <w:t xml:space="preserve">. </w:t>
      </w:r>
      <w:r w:rsidRPr="00FF666C">
        <w:rPr>
          <w:rFonts w:ascii="Times New Roman" w:hAnsi="Times New Roman"/>
          <w:smallCaps/>
          <w:sz w:val="24"/>
          <w:szCs w:val="24"/>
        </w:rPr>
        <w:t>Ar</w:t>
      </w:r>
      <w:r w:rsidRPr="00E008F5">
        <w:rPr>
          <w:rFonts w:ascii="Times New Roman" w:hAnsi="Times New Roman"/>
          <w:smallCaps/>
          <w:sz w:val="24"/>
          <w:szCs w:val="24"/>
        </w:rPr>
        <w:t>c</w:t>
      </w:r>
      <w:r w:rsidRPr="00FF666C">
        <w:rPr>
          <w:rFonts w:ascii="Times New Roman" w:hAnsi="Times New Roman"/>
          <w:smallCaps/>
          <w:sz w:val="24"/>
          <w:szCs w:val="24"/>
        </w:rPr>
        <w:t>T</w:t>
      </w:r>
      <w:r w:rsidRPr="00E008F5">
        <w:rPr>
          <w:rFonts w:ascii="Times New Roman" w:hAnsi="Times New Roman"/>
          <w:smallCaps/>
          <w:sz w:val="24"/>
          <w:szCs w:val="24"/>
        </w:rPr>
        <w:t>oolbox</w:t>
      </w:r>
      <w:r>
        <w:rPr>
          <w:rFonts w:ascii="Times New Roman" w:hAnsi="Times New Roman"/>
          <w:sz w:val="24"/>
          <w:szCs w:val="24"/>
        </w:rPr>
        <w:t xml:space="preserve"> is normally open in </w:t>
      </w:r>
      <w:r w:rsidRPr="00E008F5">
        <w:rPr>
          <w:rFonts w:ascii="Times New Roman" w:hAnsi="Times New Roman"/>
          <w:smallCaps/>
          <w:sz w:val="24"/>
          <w:szCs w:val="24"/>
        </w:rPr>
        <w:t>ArcMap</w:t>
      </w:r>
      <w:r>
        <w:rPr>
          <w:rFonts w:ascii="Times New Roman" w:hAnsi="Times New Roman"/>
          <w:sz w:val="24"/>
          <w:szCs w:val="24"/>
        </w:rPr>
        <w:t xml:space="preserve">, but if it is not, click on the </w:t>
      </w:r>
      <w:r w:rsidRPr="00E008F5">
        <w:rPr>
          <w:rFonts w:ascii="Times New Roman" w:hAnsi="Times New Roman"/>
          <w:smallCaps/>
          <w:sz w:val="24"/>
          <w:szCs w:val="24"/>
        </w:rPr>
        <w:t xml:space="preserve">ArcToolbox </w:t>
      </w:r>
      <w:r>
        <w:rPr>
          <w:rFonts w:ascii="Times New Roman" w:hAnsi="Times New Roman"/>
          <w:sz w:val="24"/>
          <w:szCs w:val="24"/>
        </w:rPr>
        <w:t xml:space="preserve">symbol. See the </w:t>
      </w:r>
      <w:r w:rsidRPr="005C4308">
        <w:rPr>
          <w:rFonts w:ascii="Times New Roman" w:hAnsi="Times New Roman"/>
          <w:b/>
          <w:sz w:val="24"/>
          <w:szCs w:val="24"/>
        </w:rPr>
        <w:t xml:space="preserve">Getting Started </w:t>
      </w:r>
      <w:r>
        <w:rPr>
          <w:rFonts w:ascii="Times New Roman" w:hAnsi="Times New Roman"/>
          <w:sz w:val="24"/>
          <w:szCs w:val="24"/>
        </w:rPr>
        <w:t>chapter if you don’t see the InVEST toolbox and need instructions on how to add it.</w:t>
      </w:r>
    </w:p>
    <w:p w:rsidR="00DA218F" w:rsidRDefault="00DA218F" w:rsidP="00DA218F">
      <w:pPr>
        <w:pStyle w:val="ColorfulShading-Accent31"/>
        <w:ind w:left="0"/>
        <w:jc w:val="both"/>
        <w:rPr>
          <w:rFonts w:ascii="Times New Roman" w:hAnsi="Times New Roman"/>
          <w:sz w:val="24"/>
          <w:szCs w:val="24"/>
        </w:rPr>
      </w:pPr>
    </w:p>
    <w:p w:rsidR="00DA218F" w:rsidRPr="00E804C4" w:rsidRDefault="00DA218F" w:rsidP="00DA218F">
      <w:pPr>
        <w:pStyle w:val="ColorfulShading-Accent31"/>
        <w:numPr>
          <w:ilvl w:val="0"/>
          <w:numId w:val="7"/>
        </w:numPr>
        <w:tabs>
          <w:tab w:val="left" w:pos="720"/>
        </w:tabs>
        <w:suppressAutoHyphens/>
        <w:spacing w:after="200"/>
        <w:contextualSpacing w:val="0"/>
        <w:jc w:val="both"/>
        <w:rPr>
          <w:rFonts w:ascii="Times New Roman" w:hAnsi="Times New Roman"/>
          <w:smallCaps/>
          <w:sz w:val="24"/>
          <w:szCs w:val="24"/>
        </w:rPr>
      </w:pPr>
      <w:r>
        <w:rPr>
          <w:noProof/>
        </w:rPr>
        <w:drawing>
          <wp:anchor distT="0" distB="0" distL="114935" distR="114935" simplePos="0" relativeHeight="251662336" behindDoc="0" locked="0" layoutInCell="1" allowOverlap="1">
            <wp:simplePos x="0" y="0"/>
            <wp:positionH relativeFrom="column">
              <wp:posOffset>6293485</wp:posOffset>
            </wp:positionH>
            <wp:positionV relativeFrom="paragraph">
              <wp:posOffset>220980</wp:posOffset>
            </wp:positionV>
            <wp:extent cx="263525" cy="233680"/>
            <wp:effectExtent l="50800" t="25400" r="15875" b="20320"/>
            <wp:wrapSquare wrapText="bothSides"/>
            <wp:docPr id="11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63525" cy="233680"/>
                    </a:xfrm>
                    <a:prstGeom prst="rect">
                      <a:avLst/>
                    </a:prstGeom>
                    <a:solidFill>
                      <a:srgbClr val="FFFFFF"/>
                    </a:solidFill>
                    <a:ln w="9525">
                      <a:solidFill>
                        <a:srgbClr val="000000"/>
                      </a:solidFill>
                      <a:miter lim="800000"/>
                      <a:headEnd/>
                      <a:tailEnd/>
                    </a:ln>
                  </pic:spPr>
                </pic:pic>
              </a:graphicData>
            </a:graphic>
          </wp:anchor>
        </w:drawing>
      </w:r>
      <w:r>
        <w:rPr>
          <w:rFonts w:ascii="Times New Roman" w:hAnsi="Times New Roman"/>
          <w:sz w:val="24"/>
          <w:szCs w:val="24"/>
        </w:rPr>
        <w:t xml:space="preserve">You can run this analysis without adding data to your map view, but usually it is recommended to view your data first and get to know them. Add the data for this analysis to your map using the </w:t>
      </w:r>
      <w:r>
        <w:rPr>
          <w:rFonts w:ascii="Times New Roman" w:hAnsi="Times New Roman"/>
          <w:smallCaps/>
          <w:sz w:val="24"/>
          <w:szCs w:val="24"/>
        </w:rPr>
        <w:t>Add Data</w:t>
      </w:r>
      <w:r>
        <w:rPr>
          <w:rFonts w:ascii="Times New Roman" w:hAnsi="Times New Roman"/>
          <w:sz w:val="24"/>
          <w:szCs w:val="24"/>
        </w:rPr>
        <w:t xml:space="preserve"> button and look at each file to make sure it is formatted correctly. Save your </w:t>
      </w:r>
      <w:r w:rsidRPr="00DF7117">
        <w:rPr>
          <w:rFonts w:ascii="Times New Roman" w:hAnsi="Times New Roman"/>
          <w:smallCaps/>
          <w:sz w:val="24"/>
          <w:szCs w:val="24"/>
        </w:rPr>
        <w:t>ArcMap</w:t>
      </w:r>
      <w:r>
        <w:rPr>
          <w:rFonts w:ascii="Times New Roman" w:hAnsi="Times New Roman"/>
          <w:sz w:val="24"/>
          <w:szCs w:val="24"/>
        </w:rPr>
        <w:t xml:space="preserve"> file as needed.</w:t>
      </w:r>
      <w:r>
        <w:rPr>
          <w:rFonts w:ascii="Times New Roman" w:hAnsi="Times New Roman"/>
          <w:smallCaps/>
          <w:sz w:val="24"/>
          <w:szCs w:val="24"/>
        </w:rPr>
        <w:t xml:space="preserve">  </w:t>
      </w:r>
    </w:p>
    <w:p w:rsidR="00DA218F" w:rsidRDefault="00DA218F" w:rsidP="00DA218F">
      <w:pPr>
        <w:numPr>
          <w:ilvl w:val="0"/>
          <w:numId w:val="8"/>
        </w:numPr>
        <w:suppressAutoHyphens/>
        <w:spacing w:after="200"/>
        <w:jc w:val="both"/>
      </w:pPr>
      <w:r w:rsidRPr="00993EB7">
        <w:t xml:space="preserve">Click once on the plus sign on the left side of the </w:t>
      </w:r>
      <w:r>
        <w:rPr>
          <w:smallCaps/>
        </w:rPr>
        <w:t>InVEST</w:t>
      </w:r>
      <w:r w:rsidRPr="00993EB7">
        <w:t xml:space="preserve"> toolbox to see the list</w:t>
      </w:r>
      <w:r>
        <w:t xml:space="preserve"> of tools expand.</w:t>
      </w:r>
      <w:r w:rsidRPr="00993EB7">
        <w:t xml:space="preserve"> Double-click on </w:t>
      </w:r>
      <w:r w:rsidRPr="008C4A38">
        <w:rPr>
          <w:smallCaps/>
        </w:rPr>
        <w:t>Timber</w:t>
      </w:r>
      <w:r>
        <w:t>.</w:t>
      </w:r>
    </w:p>
    <w:p w:rsidR="00DA218F" w:rsidRDefault="00DA218F" w:rsidP="00DA218F">
      <w:pPr>
        <w:jc w:val="both"/>
      </w:pPr>
      <w:r>
        <w:rPr>
          <w:noProof/>
        </w:rPr>
        <w:lastRenderedPageBreak/>
        <w:drawing>
          <wp:inline distT="0" distB="0" distL="0" distR="0">
            <wp:extent cx="6289040" cy="5069840"/>
            <wp:effectExtent l="25400" t="0" r="10160" b="0"/>
            <wp:docPr id="365" name="Picture 365" descr="ti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timber"/>
                    <pic:cNvPicPr>
                      <a:picLocks noChangeAspect="1" noChangeArrowheads="1"/>
                    </pic:cNvPicPr>
                  </pic:nvPicPr>
                  <pic:blipFill>
                    <a:blip r:embed="rId22" cstate="print"/>
                    <a:srcRect/>
                    <a:stretch>
                      <a:fillRect/>
                    </a:stretch>
                  </pic:blipFill>
                  <pic:spPr bwMode="auto">
                    <a:xfrm>
                      <a:off x="0" y="0"/>
                      <a:ext cx="6289040" cy="5069840"/>
                    </a:xfrm>
                    <a:prstGeom prst="rect">
                      <a:avLst/>
                    </a:prstGeom>
                    <a:noFill/>
                    <a:ln w="9525">
                      <a:noFill/>
                      <a:miter lim="800000"/>
                      <a:headEnd/>
                      <a:tailEnd/>
                    </a:ln>
                  </pic:spPr>
                </pic:pic>
              </a:graphicData>
            </a:graphic>
          </wp:inline>
        </w:drawing>
      </w:r>
    </w:p>
    <w:p w:rsidR="00DA218F" w:rsidRDefault="00DA218F" w:rsidP="00DA218F">
      <w:pPr>
        <w:jc w:val="both"/>
      </w:pPr>
    </w:p>
    <w:p w:rsidR="00DA218F" w:rsidRPr="00806481" w:rsidRDefault="00DA218F" w:rsidP="00DA218F">
      <w:pPr>
        <w:pStyle w:val="ColorfulShading-Accent31"/>
        <w:numPr>
          <w:ilvl w:val="0"/>
          <w:numId w:val="5"/>
        </w:numPr>
        <w:contextualSpacing w:val="0"/>
        <w:jc w:val="both"/>
        <w:rPr>
          <w:rFonts w:ascii="Times New Roman" w:hAnsi="Times New Roman"/>
          <w:sz w:val="24"/>
          <w:szCs w:val="24"/>
        </w:rPr>
      </w:pPr>
      <w:r w:rsidRPr="00826442">
        <w:rPr>
          <w:rFonts w:ascii="Times New Roman" w:hAnsi="Times New Roman"/>
          <w:sz w:val="24"/>
          <w:szCs w:val="24"/>
        </w:rPr>
        <w:t>An interface w</w:t>
      </w:r>
      <w:r>
        <w:rPr>
          <w:rFonts w:ascii="Times New Roman" w:hAnsi="Times New Roman"/>
          <w:sz w:val="24"/>
          <w:szCs w:val="24"/>
        </w:rPr>
        <w:t xml:space="preserve">ill pop up like the one below. </w:t>
      </w:r>
      <w:r w:rsidRPr="00826442">
        <w:rPr>
          <w:rFonts w:ascii="Times New Roman" w:hAnsi="Times New Roman"/>
          <w:sz w:val="24"/>
          <w:szCs w:val="24"/>
        </w:rPr>
        <w:t>The tool indicates default file names, but you can use the file buttons to br</w:t>
      </w:r>
      <w:r>
        <w:rPr>
          <w:rFonts w:ascii="Times New Roman" w:hAnsi="Times New Roman"/>
          <w:sz w:val="24"/>
          <w:szCs w:val="24"/>
        </w:rPr>
        <w:t xml:space="preserve">owse instead to your own data. </w:t>
      </w:r>
      <w:r w:rsidRPr="00826442">
        <w:rPr>
          <w:rFonts w:ascii="Times New Roman" w:hAnsi="Times New Roman"/>
          <w:sz w:val="24"/>
          <w:szCs w:val="24"/>
        </w:rPr>
        <w:t xml:space="preserve">When you place your cursor in each </w:t>
      </w:r>
      <w:r>
        <w:rPr>
          <w:rFonts w:ascii="Times New Roman" w:hAnsi="Times New Roman"/>
          <w:sz w:val="24"/>
          <w:szCs w:val="24"/>
        </w:rPr>
        <w:t>space</w:t>
      </w:r>
      <w:r w:rsidRPr="00826442">
        <w:rPr>
          <w:rFonts w:ascii="Times New Roman" w:hAnsi="Times New Roman"/>
          <w:sz w:val="24"/>
          <w:szCs w:val="24"/>
        </w:rPr>
        <w:t>, you can read a description of the data requirements in th</w:t>
      </w:r>
      <w:r>
        <w:rPr>
          <w:rFonts w:ascii="Times New Roman" w:hAnsi="Times New Roman"/>
          <w:sz w:val="24"/>
          <w:szCs w:val="24"/>
        </w:rPr>
        <w:t xml:space="preserve">e right side of the interface. </w:t>
      </w:r>
      <w:r w:rsidRPr="00826442">
        <w:rPr>
          <w:rFonts w:ascii="Times New Roman" w:hAnsi="Times New Roman"/>
          <w:sz w:val="24"/>
          <w:szCs w:val="24"/>
        </w:rPr>
        <w:t xml:space="preserve">In addition, refer to the </w:t>
      </w:r>
      <w:r w:rsidRPr="00826442">
        <w:rPr>
          <w:rFonts w:ascii="Times New Roman" w:hAnsi="Times New Roman"/>
          <w:b/>
          <w:i/>
          <w:sz w:val="24"/>
          <w:szCs w:val="24"/>
        </w:rPr>
        <w:t>Data Needs</w:t>
      </w:r>
      <w:r w:rsidRPr="00826442">
        <w:rPr>
          <w:rFonts w:ascii="Times New Roman" w:hAnsi="Times New Roman"/>
          <w:sz w:val="24"/>
          <w:szCs w:val="24"/>
        </w:rPr>
        <w:t xml:space="preserve"> section above for information on data formats.  </w:t>
      </w:r>
    </w:p>
    <w:p w:rsidR="00DA218F" w:rsidRDefault="00DA218F" w:rsidP="00DA218F">
      <w:pPr>
        <w:jc w:val="center"/>
      </w:pPr>
      <w:r>
        <w:rPr>
          <w:noProof/>
        </w:rPr>
        <w:lastRenderedPageBreak/>
        <w:drawing>
          <wp:inline distT="0" distB="0" distL="0" distR="0">
            <wp:extent cx="4734560" cy="4409440"/>
            <wp:effectExtent l="2540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3" cstate="print"/>
                    <a:srcRect/>
                    <a:stretch>
                      <a:fillRect/>
                    </a:stretch>
                  </pic:blipFill>
                  <pic:spPr bwMode="auto">
                    <a:xfrm>
                      <a:off x="0" y="0"/>
                      <a:ext cx="4734560" cy="4409440"/>
                    </a:xfrm>
                    <a:prstGeom prst="rect">
                      <a:avLst/>
                    </a:prstGeom>
                    <a:noFill/>
                    <a:ln w="9525">
                      <a:noFill/>
                      <a:miter lim="800000"/>
                      <a:headEnd/>
                      <a:tailEnd/>
                    </a:ln>
                  </pic:spPr>
                </pic:pic>
              </a:graphicData>
            </a:graphic>
          </wp:inline>
        </w:drawing>
      </w:r>
      <w:r w:rsidRPr="00993EB7">
        <w:t>.</w:t>
      </w:r>
    </w:p>
    <w:p w:rsidR="00DA218F" w:rsidRDefault="00DA218F" w:rsidP="00DA218F">
      <w:pPr>
        <w:jc w:val="both"/>
      </w:pPr>
    </w:p>
    <w:p w:rsidR="00DA218F" w:rsidRPr="00A1265D" w:rsidRDefault="00DA218F" w:rsidP="00DA218F">
      <w:pPr>
        <w:pStyle w:val="ColorfulShading-Accent31"/>
        <w:numPr>
          <w:ilvl w:val="0"/>
          <w:numId w:val="5"/>
        </w:numPr>
        <w:contextualSpacing w:val="0"/>
        <w:jc w:val="both"/>
        <w:rPr>
          <w:rFonts w:ascii="Times New Roman" w:hAnsi="Times New Roman"/>
          <w:sz w:val="24"/>
          <w:szCs w:val="24"/>
        </w:rPr>
      </w:pPr>
      <w:r>
        <w:rPr>
          <w:rFonts w:ascii="Times New Roman" w:hAnsi="Times New Roman"/>
          <w:sz w:val="24"/>
          <w:szCs w:val="24"/>
        </w:rPr>
        <w:t xml:space="preserve">Fill in data file names and values for all required prompts. Unless the space is indicated as optional, it requires you to enter some data.  </w:t>
      </w:r>
    </w:p>
    <w:p w:rsidR="00DA218F" w:rsidRDefault="00DA218F" w:rsidP="00DA218F">
      <w:pPr>
        <w:pStyle w:val="ColorfulShading-Accent31"/>
        <w:ind w:hanging="360"/>
        <w:jc w:val="both"/>
        <w:rPr>
          <w:rFonts w:ascii="Times New Roman" w:hAnsi="Times New Roman"/>
          <w:sz w:val="24"/>
          <w:szCs w:val="24"/>
        </w:rPr>
      </w:pPr>
    </w:p>
    <w:p w:rsidR="00DA218F" w:rsidRDefault="00DA218F" w:rsidP="00DA218F">
      <w:pPr>
        <w:pStyle w:val="ColorfulShading-Accent31"/>
        <w:numPr>
          <w:ilvl w:val="0"/>
          <w:numId w:val="5"/>
        </w:numPr>
        <w:contextualSpacing w:val="0"/>
        <w:jc w:val="both"/>
        <w:rPr>
          <w:rFonts w:ascii="Times New Roman" w:hAnsi="Times New Roman"/>
          <w:sz w:val="24"/>
          <w:szCs w:val="24"/>
        </w:rPr>
      </w:pPr>
      <w:r>
        <w:rPr>
          <w:rFonts w:ascii="Times New Roman" w:hAnsi="Times New Roman"/>
          <w:sz w:val="24"/>
          <w:szCs w:val="24"/>
        </w:rPr>
        <w:t xml:space="preserve">After you’ve entered all values as required, click on </w:t>
      </w:r>
      <w:r w:rsidRPr="00A1265D">
        <w:rPr>
          <w:rFonts w:ascii="Times New Roman" w:hAnsi="Times New Roman"/>
          <w:smallCaps/>
          <w:sz w:val="24"/>
          <w:szCs w:val="24"/>
        </w:rPr>
        <w:t>OK</w:t>
      </w:r>
      <w:r>
        <w:rPr>
          <w:rFonts w:ascii="Times New Roman" w:hAnsi="Times New Roman"/>
          <w:sz w:val="24"/>
          <w:szCs w:val="24"/>
        </w:rPr>
        <w:t xml:space="preserve">. The script will run, and its progress will be indicated by a “Progress dialogue.”  </w:t>
      </w:r>
    </w:p>
    <w:p w:rsidR="00DA218F" w:rsidRPr="00107A69" w:rsidRDefault="00DA218F" w:rsidP="00DA218F">
      <w:pPr>
        <w:ind w:left="720" w:hanging="360"/>
        <w:jc w:val="both"/>
      </w:pPr>
    </w:p>
    <w:p w:rsidR="00DA218F" w:rsidRDefault="00DA218F" w:rsidP="00DA218F">
      <w:pPr>
        <w:pStyle w:val="ColorfulShading-Accent31"/>
        <w:numPr>
          <w:ilvl w:val="0"/>
          <w:numId w:val="5"/>
        </w:numPr>
        <w:contextualSpacing w:val="0"/>
        <w:jc w:val="both"/>
        <w:rPr>
          <w:rFonts w:ascii="Times New Roman" w:hAnsi="Times New Roman"/>
          <w:sz w:val="24"/>
          <w:szCs w:val="24"/>
        </w:rPr>
      </w:pPr>
      <w:r>
        <w:rPr>
          <w:rFonts w:ascii="Times New Roman" w:hAnsi="Times New Roman"/>
          <w:sz w:val="24"/>
          <w:szCs w:val="24"/>
        </w:rPr>
        <w:t>Upon successful completion of the model, you will see new folders in your workspace called “intermediate” and “output.” These folders contain several raster grids. These grids are described in the next section.</w:t>
      </w:r>
    </w:p>
    <w:p w:rsidR="00DA218F" w:rsidRDefault="00DA218F" w:rsidP="00DA218F">
      <w:pPr>
        <w:ind w:left="720" w:hanging="360"/>
        <w:jc w:val="both"/>
      </w:pPr>
      <w:r>
        <w:rPr>
          <w:noProof/>
        </w:rPr>
        <w:drawing>
          <wp:anchor distT="0" distB="0" distL="114300" distR="114300" simplePos="0" relativeHeight="251660288" behindDoc="0" locked="0" layoutInCell="1" allowOverlap="1">
            <wp:simplePos x="0" y="0"/>
            <wp:positionH relativeFrom="column">
              <wp:posOffset>4724400</wp:posOffset>
            </wp:positionH>
            <wp:positionV relativeFrom="paragraph">
              <wp:posOffset>108585</wp:posOffset>
            </wp:positionV>
            <wp:extent cx="342900" cy="304800"/>
            <wp:effectExtent l="25400" t="0" r="0" b="0"/>
            <wp:wrapSquare wrapText="bothSides"/>
            <wp:docPr id="1105" name="Picture 1105" descr="ad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add_data"/>
                    <pic:cNvPicPr>
                      <a:picLocks noChangeAspect="1" noChangeArrowheads="1"/>
                    </pic:cNvPicPr>
                  </pic:nvPicPr>
                  <pic:blipFill>
                    <a:blip r:embed="rId24" cstate="print"/>
                    <a:srcRect/>
                    <a:stretch>
                      <a:fillRect/>
                    </a:stretch>
                  </pic:blipFill>
                  <pic:spPr bwMode="auto">
                    <a:xfrm>
                      <a:off x="0" y="0"/>
                      <a:ext cx="342900" cy="304800"/>
                    </a:xfrm>
                    <a:prstGeom prst="rect">
                      <a:avLst/>
                    </a:prstGeom>
                    <a:noFill/>
                  </pic:spPr>
                </pic:pic>
              </a:graphicData>
            </a:graphic>
          </wp:anchor>
        </w:drawing>
      </w:r>
    </w:p>
    <w:p w:rsidR="00DA218F" w:rsidRDefault="00DA218F" w:rsidP="00DA218F">
      <w:pPr>
        <w:pStyle w:val="ColorfulShading-Accent31"/>
        <w:numPr>
          <w:ilvl w:val="0"/>
          <w:numId w:val="6"/>
        </w:numPr>
        <w:contextualSpacing w:val="0"/>
        <w:jc w:val="both"/>
        <w:rPr>
          <w:rFonts w:ascii="Times New Roman" w:hAnsi="Times New Roman"/>
          <w:sz w:val="24"/>
          <w:szCs w:val="24"/>
        </w:rPr>
      </w:pPr>
      <w:r>
        <w:rPr>
          <w:rFonts w:ascii="Times New Roman" w:hAnsi="Times New Roman"/>
          <w:sz w:val="24"/>
          <w:szCs w:val="24"/>
        </w:rPr>
        <w:t xml:space="preserve">Load the output grids into </w:t>
      </w:r>
      <w:r w:rsidRPr="00E008F5">
        <w:rPr>
          <w:rFonts w:ascii="Times New Roman" w:hAnsi="Times New Roman"/>
          <w:smallCaps/>
          <w:sz w:val="24"/>
          <w:szCs w:val="24"/>
        </w:rPr>
        <w:t xml:space="preserve">ArcMap </w:t>
      </w:r>
      <w:r>
        <w:rPr>
          <w:rFonts w:ascii="Times New Roman" w:hAnsi="Times New Roman"/>
          <w:sz w:val="24"/>
          <w:szCs w:val="24"/>
        </w:rPr>
        <w:t xml:space="preserve">using the </w:t>
      </w:r>
      <w:r w:rsidRPr="00A1265D">
        <w:rPr>
          <w:rFonts w:ascii="Times New Roman" w:hAnsi="Times New Roman"/>
          <w:smallCaps/>
          <w:sz w:val="24"/>
          <w:szCs w:val="24"/>
        </w:rPr>
        <w:t>Add Data</w:t>
      </w:r>
      <w:r>
        <w:rPr>
          <w:rFonts w:ascii="Times New Roman" w:hAnsi="Times New Roman"/>
          <w:sz w:val="24"/>
          <w:szCs w:val="24"/>
        </w:rPr>
        <w:t xml:space="preserve"> button.  </w:t>
      </w:r>
    </w:p>
    <w:p w:rsidR="00DA218F" w:rsidRDefault="00DA218F" w:rsidP="00DA218F">
      <w:pPr>
        <w:ind w:left="720" w:hanging="360"/>
        <w:jc w:val="both"/>
      </w:pPr>
    </w:p>
    <w:p w:rsidR="00DA218F" w:rsidRDefault="00DA218F" w:rsidP="00DA218F">
      <w:pPr>
        <w:pStyle w:val="ColorfulShading-Accent31"/>
        <w:numPr>
          <w:ilvl w:val="0"/>
          <w:numId w:val="6"/>
        </w:numPr>
        <w:contextualSpacing w:val="0"/>
        <w:jc w:val="both"/>
        <w:rPr>
          <w:rFonts w:ascii="Times New Roman" w:hAnsi="Times New Roman"/>
          <w:sz w:val="24"/>
          <w:szCs w:val="24"/>
        </w:rPr>
      </w:pPr>
      <w:r>
        <w:rPr>
          <w:rFonts w:ascii="Times New Roman" w:hAnsi="Times New Roman"/>
          <w:sz w:val="24"/>
          <w:szCs w:val="24"/>
        </w:rPr>
        <w:t xml:space="preserve">You can change the symbology of a layer by right-clicking on the layer name in the table of contents, selecting </w:t>
      </w:r>
      <w:r w:rsidRPr="00087CDE">
        <w:rPr>
          <w:rFonts w:ascii="Times New Roman" w:hAnsi="Times New Roman"/>
          <w:smallCaps/>
          <w:sz w:val="24"/>
          <w:szCs w:val="24"/>
        </w:rPr>
        <w:t>Properties</w:t>
      </w:r>
      <w:r>
        <w:rPr>
          <w:rFonts w:ascii="Times New Roman" w:hAnsi="Times New Roman"/>
          <w:sz w:val="24"/>
          <w:szCs w:val="24"/>
        </w:rPr>
        <w:t xml:space="preserve">, and then </w:t>
      </w:r>
      <w:r w:rsidRPr="00087CDE">
        <w:rPr>
          <w:rFonts w:ascii="Times New Roman" w:hAnsi="Times New Roman"/>
          <w:smallCaps/>
          <w:sz w:val="24"/>
          <w:szCs w:val="24"/>
        </w:rPr>
        <w:t>Symbology</w:t>
      </w:r>
      <w:r>
        <w:rPr>
          <w:rFonts w:ascii="Times New Roman" w:hAnsi="Times New Roman"/>
          <w:sz w:val="24"/>
          <w:szCs w:val="24"/>
        </w:rPr>
        <w:t>. There are many options here to change the way the file appears in the map.</w:t>
      </w:r>
    </w:p>
    <w:p w:rsidR="00DA218F" w:rsidRPr="00EC749A" w:rsidRDefault="00DA218F" w:rsidP="00DA218F">
      <w:pPr>
        <w:pStyle w:val="ColorfulShading-Accent31"/>
        <w:ind w:hanging="360"/>
        <w:jc w:val="both"/>
        <w:rPr>
          <w:rFonts w:ascii="Times New Roman" w:hAnsi="Times New Roman"/>
          <w:sz w:val="24"/>
          <w:szCs w:val="24"/>
        </w:rPr>
      </w:pPr>
    </w:p>
    <w:p w:rsidR="00DA218F" w:rsidRDefault="00DA218F" w:rsidP="00DA218F">
      <w:pPr>
        <w:pStyle w:val="ColorfulShading-Accent31"/>
        <w:numPr>
          <w:ilvl w:val="0"/>
          <w:numId w:val="6"/>
        </w:numPr>
        <w:contextualSpacing w:val="0"/>
        <w:jc w:val="both"/>
        <w:rPr>
          <w:rFonts w:ascii="Times New Roman" w:hAnsi="Times New Roman"/>
          <w:sz w:val="24"/>
          <w:szCs w:val="24"/>
        </w:rPr>
      </w:pPr>
      <w:r>
        <w:rPr>
          <w:rFonts w:ascii="Times New Roman" w:hAnsi="Times New Roman"/>
          <w:sz w:val="24"/>
          <w:szCs w:val="24"/>
        </w:rPr>
        <w:t xml:space="preserve">You can also view the attribute data of output files by right clicking on a layer and selecting </w:t>
      </w:r>
      <w:r w:rsidRPr="00087CDE">
        <w:rPr>
          <w:rFonts w:ascii="Times New Roman" w:hAnsi="Times New Roman"/>
          <w:smallCaps/>
          <w:sz w:val="24"/>
          <w:szCs w:val="24"/>
        </w:rPr>
        <w:t>Open Attribute Table</w:t>
      </w:r>
      <w:r>
        <w:rPr>
          <w:rFonts w:ascii="Times New Roman" w:hAnsi="Times New Roman"/>
          <w:sz w:val="24"/>
          <w:szCs w:val="24"/>
        </w:rPr>
        <w:t>.</w:t>
      </w:r>
    </w:p>
    <w:p w:rsidR="00DA218F" w:rsidRPr="001E0814" w:rsidRDefault="00DA218F" w:rsidP="00DA218F">
      <w:pPr>
        <w:pStyle w:val="Heading2"/>
        <w:ind w:left="-270"/>
        <w:jc w:val="both"/>
        <w:rPr>
          <w:rFonts w:ascii="Cambria" w:hAnsi="Cambria"/>
        </w:rPr>
      </w:pPr>
      <w:bookmarkStart w:id="27" w:name="_Toc158980621"/>
      <w:r w:rsidRPr="001E0814">
        <w:rPr>
          <w:rFonts w:ascii="Cambria" w:hAnsi="Cambria"/>
        </w:rPr>
        <w:lastRenderedPageBreak/>
        <w:t>Interpreting results</w:t>
      </w:r>
      <w:bookmarkEnd w:id="27"/>
    </w:p>
    <w:p w:rsidR="00DA218F" w:rsidRPr="00373699" w:rsidRDefault="00DA218F" w:rsidP="00DA218F">
      <w:pPr>
        <w:pStyle w:val="Heading3"/>
        <w:rPr>
          <w:rFonts w:ascii="Cambria" w:hAnsi="Cambria"/>
          <w:i/>
        </w:rPr>
      </w:pPr>
      <w:bookmarkStart w:id="28" w:name="_Toc122865245"/>
      <w:bookmarkStart w:id="29" w:name="_Toc122865344"/>
      <w:bookmarkStart w:id="30" w:name="_Toc122956792"/>
      <w:bookmarkStart w:id="31" w:name="_Toc122970700"/>
      <w:bookmarkStart w:id="32" w:name="_Toc122971234"/>
      <w:bookmarkStart w:id="33" w:name="_Toc122971576"/>
      <w:bookmarkStart w:id="34" w:name="_Toc122971686"/>
      <w:bookmarkStart w:id="35" w:name="_Toc158980622"/>
      <w:r w:rsidRPr="00373699">
        <w:rPr>
          <w:rFonts w:ascii="Cambria" w:hAnsi="Cambria"/>
          <w:i/>
        </w:rPr>
        <w:t>Parameter Log</w:t>
      </w:r>
      <w:bookmarkEnd w:id="28"/>
      <w:bookmarkEnd w:id="29"/>
      <w:bookmarkEnd w:id="30"/>
      <w:bookmarkEnd w:id="31"/>
      <w:bookmarkEnd w:id="32"/>
      <w:bookmarkEnd w:id="33"/>
      <w:bookmarkEnd w:id="34"/>
      <w:bookmarkEnd w:id="35"/>
    </w:p>
    <w:p w:rsidR="00DA218F" w:rsidRPr="005F665C" w:rsidRDefault="00DA218F" w:rsidP="00DA218F">
      <w:pPr>
        <w:pStyle w:val="ColorfulShading-Accent31"/>
        <w:ind w:left="0"/>
        <w:jc w:val="both"/>
        <w:rPr>
          <w:rFonts w:ascii="Times New Roman" w:hAnsi="Times New Roman"/>
          <w:sz w:val="24"/>
          <w:szCs w:val="24"/>
        </w:rPr>
      </w:pPr>
      <w:r>
        <w:rPr>
          <w:rFonts w:ascii="Times New Roman" w:hAnsi="Times New Roman"/>
          <w:sz w:val="24"/>
          <w:szCs w:val="24"/>
        </w:rPr>
        <w:t>Each time the model is run, a</w:t>
      </w:r>
      <w:r w:rsidRPr="009819D1">
        <w:rPr>
          <w:rFonts w:ascii="Times New Roman" w:hAnsi="Times New Roman"/>
          <w:sz w:val="24"/>
          <w:szCs w:val="24"/>
        </w:rPr>
        <w:t xml:space="preserve"> text file</w:t>
      </w:r>
      <w:r>
        <w:rPr>
          <w:rFonts w:ascii="Times New Roman" w:hAnsi="Times New Roman"/>
          <w:sz w:val="24"/>
          <w:szCs w:val="24"/>
        </w:rPr>
        <w:t xml:space="preserve"> will appear in the output folder. The file will list the parameter values for that run and will be named according to the service, the date and time, and the suffix. </w:t>
      </w:r>
    </w:p>
    <w:p w:rsidR="00DA218F" w:rsidRDefault="00DA218F" w:rsidP="00DA218F">
      <w:pPr>
        <w:pStyle w:val="Heading3"/>
        <w:spacing w:before="0"/>
        <w:rPr>
          <w:rFonts w:ascii="Times New Roman" w:hAnsi="Times New Roman"/>
          <w:i/>
          <w:sz w:val="24"/>
        </w:rPr>
      </w:pPr>
      <w:bookmarkStart w:id="36" w:name="_Toc122865246"/>
      <w:bookmarkStart w:id="37" w:name="_Toc122865345"/>
      <w:bookmarkStart w:id="38" w:name="_Toc122956793"/>
      <w:bookmarkStart w:id="39" w:name="_Toc122970701"/>
      <w:bookmarkStart w:id="40" w:name="_Toc122971235"/>
      <w:bookmarkStart w:id="41" w:name="_Toc122971577"/>
      <w:bookmarkStart w:id="42" w:name="_Toc122971687"/>
    </w:p>
    <w:p w:rsidR="00DA218F" w:rsidRPr="00373699" w:rsidRDefault="00DA218F" w:rsidP="00DA218F">
      <w:pPr>
        <w:pStyle w:val="Heading3"/>
        <w:spacing w:before="0"/>
        <w:rPr>
          <w:rFonts w:ascii="Cambria" w:hAnsi="Cambria"/>
          <w:i/>
        </w:rPr>
      </w:pPr>
      <w:bookmarkStart w:id="43" w:name="_Toc158980623"/>
      <w:r w:rsidRPr="00373699">
        <w:rPr>
          <w:rFonts w:ascii="Cambria" w:hAnsi="Cambria"/>
          <w:i/>
        </w:rPr>
        <w:t>Final Results</w:t>
      </w:r>
      <w:bookmarkEnd w:id="36"/>
      <w:bookmarkEnd w:id="37"/>
      <w:bookmarkEnd w:id="38"/>
      <w:bookmarkEnd w:id="39"/>
      <w:bookmarkEnd w:id="40"/>
      <w:bookmarkEnd w:id="41"/>
      <w:bookmarkEnd w:id="42"/>
      <w:bookmarkEnd w:id="43"/>
    </w:p>
    <w:p w:rsidR="00DA218F" w:rsidRDefault="00DA218F" w:rsidP="00DA218F">
      <w:pPr>
        <w:jc w:val="both"/>
      </w:pPr>
      <w:r>
        <w:t>Final results are found in the output folder of the workspace for this model. The model produces two main output files:</w:t>
      </w:r>
    </w:p>
    <w:p w:rsidR="00DA218F" w:rsidRDefault="00DA218F" w:rsidP="00DA218F">
      <w:pPr>
        <w:ind w:firstLine="720"/>
        <w:jc w:val="both"/>
      </w:pPr>
    </w:p>
    <w:p w:rsidR="00DA218F" w:rsidRDefault="00DA218F" w:rsidP="00DA218F">
      <w:pPr>
        <w:numPr>
          <w:ilvl w:val="0"/>
          <w:numId w:val="2"/>
        </w:numPr>
        <w:tabs>
          <w:tab w:val="clear" w:pos="1440"/>
          <w:tab w:val="num" w:pos="1122"/>
        </w:tabs>
        <w:ind w:left="1122" w:hanging="374"/>
        <w:jc w:val="both"/>
      </w:pPr>
      <w:r>
        <w:t>Timber_suffix.shp – The attribute table has three columns. The first column gives each timber parcel’s TNPV. TNPV is t</w:t>
      </w:r>
      <w:r w:rsidRPr="009D4BC4">
        <w:t xml:space="preserve">he </w:t>
      </w:r>
      <w:r w:rsidRPr="00E804C4">
        <w:rPr>
          <w:u w:val="single"/>
        </w:rPr>
        <w:t>net present economic value</w:t>
      </w:r>
      <w:r w:rsidRPr="009D4BC4">
        <w:t xml:space="preserve"> of timber production in </w:t>
      </w:r>
      <w:r>
        <w:t xml:space="preserve">terms of the user-defined currency. TNPV includes the revenue that will be generated from selling all timber harvested from </w:t>
      </w:r>
      <w:r w:rsidRPr="008F2377">
        <w:rPr>
          <w:i/>
        </w:rPr>
        <w:t>yr_cur</w:t>
      </w:r>
      <w:r>
        <w:t xml:space="preserve"> or </w:t>
      </w:r>
      <w:r w:rsidRPr="008F2377">
        <w:rPr>
          <w:i/>
        </w:rPr>
        <w:t>yr_fut</w:t>
      </w:r>
      <w:r>
        <w:t xml:space="preserve"> to </w:t>
      </w:r>
      <w:r w:rsidRPr="004E1C75">
        <w:rPr>
          <w:i/>
        </w:rPr>
        <w:t>T</w:t>
      </w:r>
      <w:r>
        <w:t xml:space="preserve"> years after </w:t>
      </w:r>
      <w:r w:rsidRPr="008F2377">
        <w:rPr>
          <w:i/>
        </w:rPr>
        <w:t>yr_cur</w:t>
      </w:r>
      <w:r>
        <w:t xml:space="preserve"> or </w:t>
      </w:r>
      <w:r w:rsidRPr="008F2377">
        <w:rPr>
          <w:i/>
        </w:rPr>
        <w:t>yr_fut</w:t>
      </w:r>
      <w:r>
        <w:t xml:space="preserve"> less harvest and management costs incurred during this period.  Finally, all monetary values are discounted back to </w:t>
      </w:r>
      <w:r w:rsidRPr="004E1C75">
        <w:rPr>
          <w:i/>
        </w:rPr>
        <w:t>yr_cur</w:t>
      </w:r>
      <w:r>
        <w:t xml:space="preserve"> or </w:t>
      </w:r>
      <w:r w:rsidRPr="004E1C75">
        <w:rPr>
          <w:i/>
        </w:rPr>
        <w:t>yr_fut</w:t>
      </w:r>
      <w:r>
        <w:t xml:space="preserve">’s present value. Negative values indicate that costs (management and harvest) are greater than income (price times harvest levels). The </w:t>
      </w:r>
      <w:r w:rsidRPr="001B4C83">
        <w:rPr>
          <w:i/>
        </w:rPr>
        <w:t>TBiomass</w:t>
      </w:r>
      <w:r>
        <w:t xml:space="preserve"> column gives the total biomass (in Mg) of harvested wood removed from each timber parcel from </w:t>
      </w:r>
      <w:r w:rsidRPr="008F2377">
        <w:rPr>
          <w:i/>
        </w:rPr>
        <w:t>yr_cur</w:t>
      </w:r>
      <w:r>
        <w:t xml:space="preserve"> or </w:t>
      </w:r>
      <w:r w:rsidRPr="008F2377">
        <w:rPr>
          <w:i/>
        </w:rPr>
        <w:t>yr_fut</w:t>
      </w:r>
      <w:r>
        <w:t xml:space="preserve"> to </w:t>
      </w:r>
      <w:r w:rsidRPr="004E1C75">
        <w:rPr>
          <w:i/>
        </w:rPr>
        <w:t>T</w:t>
      </w:r>
      <w:r>
        <w:t xml:space="preserve"> years after </w:t>
      </w:r>
      <w:r w:rsidRPr="008F2377">
        <w:rPr>
          <w:i/>
        </w:rPr>
        <w:t>yr_cur</w:t>
      </w:r>
      <w:r>
        <w:t xml:space="preserve"> or </w:t>
      </w:r>
      <w:r w:rsidRPr="008F2377">
        <w:rPr>
          <w:i/>
        </w:rPr>
        <w:t>yr_fut</w:t>
      </w:r>
      <w:r>
        <w:t xml:space="preserve"> (</w:t>
      </w:r>
      <w:r w:rsidRPr="001C129D">
        <w:rPr>
          <w:i/>
        </w:rPr>
        <w:t>TBiomass</w:t>
      </w:r>
      <w:r>
        <w:t xml:space="preserve"> from equation (8) or equation (9), depending on the value of </w:t>
      </w:r>
      <w:r w:rsidRPr="004E1C75">
        <w:rPr>
          <w:i/>
        </w:rPr>
        <w:t>Immed_harv</w:t>
      </w:r>
      <w:r>
        <w:t xml:space="preserve">).  The </w:t>
      </w:r>
      <w:r w:rsidRPr="00EA124D">
        <w:rPr>
          <w:i/>
        </w:rPr>
        <w:t>T</w:t>
      </w:r>
      <w:r w:rsidRPr="001B4C83">
        <w:rPr>
          <w:i/>
        </w:rPr>
        <w:t>Volume</w:t>
      </w:r>
      <w:r>
        <w:t xml:space="preserve"> column gives the total volume (m</w:t>
      </w:r>
      <w:r w:rsidRPr="004E1C75">
        <w:rPr>
          <w:vertAlign w:val="superscript"/>
        </w:rPr>
        <w:t>3</w:t>
      </w:r>
      <w:r>
        <w:t xml:space="preserve">) of harvested wood removed from each timber parcel from </w:t>
      </w:r>
      <w:r w:rsidRPr="008F2377">
        <w:rPr>
          <w:i/>
        </w:rPr>
        <w:t>yr_cur</w:t>
      </w:r>
      <w:r>
        <w:t xml:space="preserve"> or </w:t>
      </w:r>
      <w:r w:rsidRPr="008F2377">
        <w:rPr>
          <w:i/>
        </w:rPr>
        <w:t>yr_fut</w:t>
      </w:r>
      <w:r>
        <w:t xml:space="preserve"> to </w:t>
      </w:r>
      <w:r w:rsidRPr="004E1C75">
        <w:rPr>
          <w:i/>
        </w:rPr>
        <w:t>T</w:t>
      </w:r>
      <w:r>
        <w:t xml:space="preserve"> years after </w:t>
      </w:r>
      <w:r w:rsidRPr="008F2377">
        <w:rPr>
          <w:i/>
        </w:rPr>
        <w:t>yr_cur</w:t>
      </w:r>
      <w:r>
        <w:t xml:space="preserve"> or </w:t>
      </w:r>
      <w:r w:rsidRPr="008F2377">
        <w:rPr>
          <w:i/>
        </w:rPr>
        <w:t>yr_fut</w:t>
      </w:r>
      <w:r>
        <w:t xml:space="preserve"> (</w:t>
      </w:r>
      <w:r w:rsidRPr="001C129D">
        <w:rPr>
          <w:i/>
        </w:rPr>
        <w:t>TVolume</w:t>
      </w:r>
      <w:r>
        <w:t xml:space="preserve"> from equation (10)).</w:t>
      </w:r>
    </w:p>
    <w:p w:rsidR="00DA218F" w:rsidRDefault="00DA218F" w:rsidP="00DA218F">
      <w:pPr>
        <w:ind w:left="748"/>
        <w:jc w:val="both"/>
      </w:pPr>
    </w:p>
    <w:p w:rsidR="00DA218F" w:rsidRDefault="00DA218F" w:rsidP="00DA218F">
      <w:pPr>
        <w:numPr>
          <w:ilvl w:val="0"/>
          <w:numId w:val="2"/>
        </w:numPr>
        <w:tabs>
          <w:tab w:val="clear" w:pos="1440"/>
          <w:tab w:val="num" w:pos="1122"/>
        </w:tabs>
        <w:ind w:left="1122" w:hanging="374"/>
        <w:jc w:val="both"/>
      </w:pPr>
      <w:r w:rsidRPr="00ED31CE">
        <w:t>Timber_dateandtime_suffix</w:t>
      </w:r>
      <w:r w:rsidRPr="00F51167">
        <w:rPr>
          <w:i/>
        </w:rPr>
        <w:t>.</w:t>
      </w:r>
      <w:r>
        <w:t xml:space="preserve">txt is </w:t>
      </w:r>
      <w:r w:rsidRPr="00F51167">
        <w:t xml:space="preserve">a text file that </w:t>
      </w:r>
      <w:r w:rsidRPr="00E804C4">
        <w:rPr>
          <w:u w:val="single"/>
        </w:rPr>
        <w:t>summarizes the parameter data</w:t>
      </w:r>
      <w:r w:rsidRPr="00F51167">
        <w:t xml:space="preserve"> </w:t>
      </w:r>
      <w:r>
        <w:t xml:space="preserve">you chose when </w:t>
      </w:r>
      <w:r w:rsidRPr="00F51167">
        <w:t>run</w:t>
      </w:r>
      <w:r>
        <w:t>ning</w:t>
      </w:r>
      <w:r w:rsidRPr="00F51167">
        <w:t xml:space="preserve"> the </w:t>
      </w:r>
      <w:r>
        <w:t>Managed Timber Production</w:t>
      </w:r>
      <w:r w:rsidRPr="00F51167">
        <w:t xml:space="preserve"> Model.</w:t>
      </w:r>
      <w:r>
        <w:t xml:space="preserve"> The text file’s name includes “</w:t>
      </w:r>
      <w:r>
        <w:rPr>
          <w:i/>
        </w:rPr>
        <w:t>dateandtime</w:t>
      </w:r>
      <w:r>
        <w:t xml:space="preserve">” which </w:t>
      </w:r>
      <w:r w:rsidRPr="00F51167">
        <w:t>means that the data and time is stamped into the text’s file name</w:t>
      </w:r>
      <w:r>
        <w:t>. The text file’s name also includes a “</w:t>
      </w:r>
      <w:r w:rsidRPr="00F51167">
        <w:rPr>
          <w:i/>
        </w:rPr>
        <w:t>suffix</w:t>
      </w:r>
      <w:r>
        <w:t>” term that you can choose in the model’s interface (you can also choose to leave it blank).</w:t>
      </w:r>
    </w:p>
    <w:p w:rsidR="00DA218F" w:rsidRPr="007F1E72" w:rsidRDefault="00DA218F" w:rsidP="00DA218F">
      <w:pPr>
        <w:pStyle w:val="Heading2"/>
        <w:ind w:hanging="187"/>
        <w:jc w:val="both"/>
        <w:rPr>
          <w:rFonts w:ascii="Cambria" w:hAnsi="Cambria"/>
        </w:rPr>
      </w:pPr>
      <w:bookmarkStart w:id="44" w:name="_Toc158980624"/>
      <w:r w:rsidRPr="007F1E72">
        <w:rPr>
          <w:rFonts w:ascii="Cambria" w:hAnsi="Cambria"/>
        </w:rPr>
        <w:t>References</w:t>
      </w:r>
      <w:bookmarkEnd w:id="44"/>
    </w:p>
    <w:p w:rsidR="00DA218F" w:rsidRPr="00FA2B9F" w:rsidRDefault="00DA218F" w:rsidP="00DA218F">
      <w:r w:rsidRPr="007F1E72">
        <w:t>Maass, J., P. Balvanera, A. Castillo, GC Daily, HA Mooney, P. Ehrlich, M. Quesada, A. Miranda,</w:t>
      </w:r>
      <w:r w:rsidRPr="007F1E72">
        <w:tab/>
        <w:t>VJ Jaramillo, F. García-Oliva, A. Martínez-Yrizar, H. Cotler, J. López Blanco, A. Pérez</w:t>
      </w:r>
      <w:r w:rsidRPr="00FA2B9F">
        <w:tab/>
        <w:t>Jiménez, A. Búrquez, C. Tinoco, G. Ceballos, L. Barraza, R. Ayala, and J. Sarukhán. 2005.</w:t>
      </w:r>
      <w:r w:rsidRPr="00FA2B9F">
        <w:tab/>
        <w:t>Ecosystem services of tropical dry forests: insights from long-term ecological and social</w:t>
      </w:r>
      <w:r w:rsidRPr="00FA2B9F">
        <w:tab/>
        <w:t>research on the Pacific Coast of Mexico. Ecology and Society 10:17.</w:t>
      </w:r>
    </w:p>
    <w:p w:rsidR="00DA218F" w:rsidRPr="00FA2B9F" w:rsidRDefault="00DA218F" w:rsidP="00DA218F">
      <w:proofErr w:type="gramStart"/>
      <w:r w:rsidRPr="00FA2B9F">
        <w:t>Núñez, D., L. Nahuelhual, and C. Oyarzún.</w:t>
      </w:r>
      <w:proofErr w:type="gramEnd"/>
      <w:r w:rsidRPr="00FA2B9F">
        <w:t xml:space="preserve"> 2006. Forests and water: The value of native</w:t>
      </w:r>
      <w:r w:rsidRPr="00FA2B9F">
        <w:tab/>
        <w:t xml:space="preserve">temperate forests in supplying water for human consumption. </w:t>
      </w:r>
      <w:proofErr w:type="gramStart"/>
      <w:r w:rsidRPr="00FA2B9F">
        <w:t>Ecological Economics</w:t>
      </w:r>
      <w:r w:rsidRPr="00FA2B9F">
        <w:tab/>
        <w:t>58:606-616.</w:t>
      </w:r>
      <w:proofErr w:type="gramEnd"/>
    </w:p>
    <w:p w:rsidR="00DA218F" w:rsidRPr="00FA2B9F" w:rsidRDefault="00DA218F" w:rsidP="00DA218F">
      <w:r w:rsidRPr="00FA2B9F">
        <w:t>Ricketts, TH. 2004. Tropical Forest Fragments Enhance Pollinator Activity in Nearby Coffee</w:t>
      </w:r>
      <w:r w:rsidRPr="00FA2B9F">
        <w:tab/>
        <w:t>Crops. Conservation Biology 18:1262-1271.</w:t>
      </w:r>
    </w:p>
    <w:p w:rsidR="00DA218F" w:rsidRPr="00FA2B9F" w:rsidRDefault="00DA218F" w:rsidP="00DA218F">
      <w:proofErr w:type="gramStart"/>
      <w:r w:rsidRPr="00FA2B9F">
        <w:t>Sohngen, B., and S. Brown.</w:t>
      </w:r>
      <w:proofErr w:type="gramEnd"/>
      <w:r w:rsidRPr="00FA2B9F">
        <w:t xml:space="preserve"> 2006. The influence of conversion of forest types on carbon</w:t>
      </w:r>
      <w:r w:rsidRPr="00FA2B9F">
        <w:tab/>
        <w:t>sequestration and other ecosystem services in the South Central United States. Ecological</w:t>
      </w:r>
      <w:r w:rsidRPr="00FA2B9F">
        <w:tab/>
        <w:t>Economics 57:698-708.</w:t>
      </w:r>
    </w:p>
    <w:p w:rsidR="00806F54" w:rsidRDefault="00DA218F"/>
    <w:sectPr w:rsidR="00806F54" w:rsidSect="00F54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erpetua Titling MT">
    <w:panose1 w:val="020205020605050208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C0F6B99"/>
    <w:multiLevelType w:val="multilevel"/>
    <w:tmpl w:val="423EC1A2"/>
    <w:lvl w:ilvl="0">
      <w:start w:val="1"/>
      <w:numFmt w:val="decimal"/>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F9272EA"/>
    <w:multiLevelType w:val="hybridMultilevel"/>
    <w:tmpl w:val="764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282823"/>
    <w:multiLevelType w:val="hybridMultilevel"/>
    <w:tmpl w:val="FB8CB1B2"/>
    <w:name w:val="WW8Num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46D34"/>
    <w:multiLevelType w:val="hybridMultilevel"/>
    <w:tmpl w:val="54AA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F8534B"/>
    <w:multiLevelType w:val="multilevel"/>
    <w:tmpl w:val="6014441A"/>
    <w:lvl w:ilvl="0">
      <w:start w:val="1"/>
      <w:numFmt w:val="decimal"/>
      <w:lvlText w:val="%1."/>
      <w:lvlJc w:val="left"/>
      <w:pPr>
        <w:ind w:left="360" w:hanging="360"/>
      </w:pPr>
      <w:rPr>
        <w:b/>
      </w:rPr>
    </w:lvl>
    <w:lvl w:ilvl="1">
      <w:start w:val="1"/>
      <w:numFmt w:val="decimal"/>
      <w:lvlText w:val="%2."/>
      <w:lvlJc w:val="left"/>
      <w:pPr>
        <w:tabs>
          <w:tab w:val="num" w:pos="720"/>
        </w:tabs>
        <w:ind w:left="720" w:hanging="360"/>
      </w:pPr>
      <w:rPr>
        <w:b/>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rPr>
        <w:b/>
      </w:r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1"/>
  </w:num>
  <w:num w:numId="3">
    <w:abstractNumId w:val="7"/>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DA218F"/>
    <w:rsid w:val="0010349A"/>
    <w:rsid w:val="003C18E8"/>
    <w:rsid w:val="00DA218F"/>
    <w:rsid w:val="00F54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218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218F"/>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DA21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18F"/>
    <w:rPr>
      <w:rFonts w:ascii="Arial" w:eastAsia="Times New Roman" w:hAnsi="Arial" w:cs="Arial"/>
      <w:b/>
      <w:bCs/>
      <w:kern w:val="32"/>
      <w:sz w:val="32"/>
      <w:szCs w:val="32"/>
    </w:rPr>
  </w:style>
  <w:style w:type="character" w:customStyle="1" w:styleId="Heading2Char">
    <w:name w:val="Heading 2 Char"/>
    <w:basedOn w:val="DefaultParagraphFont"/>
    <w:link w:val="Heading2"/>
    <w:rsid w:val="00DA218F"/>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DA218F"/>
    <w:rPr>
      <w:rFonts w:asciiTheme="majorHAnsi" w:eastAsiaTheme="majorEastAsia" w:hAnsiTheme="majorHAnsi" w:cstheme="majorBidi"/>
      <w:b/>
      <w:bCs/>
      <w:color w:val="4F81BD" w:themeColor="accent1"/>
      <w:sz w:val="24"/>
      <w:szCs w:val="24"/>
    </w:rPr>
  </w:style>
  <w:style w:type="character" w:customStyle="1" w:styleId="Heading3Char1">
    <w:name w:val="Heading 3 Char1"/>
    <w:aliases w:val=" Char Char,Char Char1"/>
    <w:basedOn w:val="DefaultParagraphFont"/>
    <w:link w:val="Heading3"/>
    <w:rsid w:val="00DA218F"/>
    <w:rPr>
      <w:rFonts w:ascii="Arial" w:eastAsia="Times New Roman" w:hAnsi="Arial" w:cs="Arial"/>
      <w:b/>
      <w:bCs/>
      <w:sz w:val="26"/>
      <w:szCs w:val="26"/>
    </w:rPr>
  </w:style>
  <w:style w:type="character" w:styleId="Hyperlink">
    <w:name w:val="Hyperlink"/>
    <w:basedOn w:val="DefaultParagraphFont"/>
    <w:uiPriority w:val="99"/>
    <w:rsid w:val="00DA218F"/>
    <w:rPr>
      <w:color w:val="0000FF"/>
      <w:u w:val="single"/>
    </w:rPr>
  </w:style>
  <w:style w:type="paragraph" w:customStyle="1" w:styleId="ColorfulShading-Accent31">
    <w:name w:val="Colorful Shading - Accent 31"/>
    <w:basedOn w:val="Normal"/>
    <w:qFormat/>
    <w:rsid w:val="00DA218F"/>
    <w:pPr>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faostat.fao.org/" TargetMode="External"/><Relationship Id="rId11" Type="http://schemas.openxmlformats.org/officeDocument/2006/relationships/image" Target="media/image6.wmf"/><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8.png"/><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4172</Words>
  <Characters>23785</Characters>
  <Application>Microsoft Office Word</Application>
  <DocSecurity>0</DocSecurity>
  <Lines>198</Lines>
  <Paragraphs>55</Paragraphs>
  <ScaleCrop>false</ScaleCrop>
  <Company/>
  <LinksUpToDate>false</LinksUpToDate>
  <CharactersWithSpaces>27902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2011-05-07T23:31:00Z</dcterms:created>
  <dcterms:modified xsi:type="dcterms:W3CDTF">2011-05-07T23:31:00Z</dcterms:modified>
</cp:coreProperties>
</file>