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w:t>
      </w:r>
      <w:proofErr w:type="gramStart"/>
      <w:r w:rsidR="007453CC">
        <w:rPr>
          <w:rFonts w:asciiTheme="majorHAnsi" w:hAnsiTheme="majorHAnsi"/>
        </w:rPr>
        <w:t>habitat</w:t>
      </w:r>
      <w:proofErr w:type="gramEnd"/>
      <w:r w:rsidR="007453CC">
        <w:rPr>
          <w:rFonts w:asciiTheme="majorHAnsi" w:hAnsiTheme="majorHAnsi"/>
        </w:rPr>
        <w:t xml:space="preserve">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w:t>
      </w:r>
      <w:proofErr w:type="spellStart"/>
      <w:r>
        <w:rPr>
          <w:rFonts w:asciiTheme="majorHAnsi" w:hAnsiTheme="majorHAnsi"/>
        </w:rPr>
        <w:t>pregenerated</w:t>
      </w:r>
      <w:proofErr w:type="spellEnd"/>
      <w:r>
        <w:rPr>
          <w:rFonts w:asciiTheme="majorHAnsi" w:hAnsiTheme="majorHAnsi"/>
        </w:rPr>
        <w:t xml:space="preserve">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561ADF"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561ADF"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proofErr w:type="gramStart"/>
      <w:r>
        <w:rPr>
          <w:rFonts w:ascii="Cambria Math" w:hAnsi="Cambria Math"/>
        </w:rPr>
        <w:t>d</w:t>
      </w:r>
      <w:r w:rsidRPr="006708CA">
        <w:rPr>
          <w:rFonts w:ascii="Cambria Math" w:hAnsi="Cambria Math"/>
          <w:vertAlign w:val="subscript"/>
        </w:rPr>
        <w:t>i</w:t>
      </w:r>
      <w:proofErr w:type="gramEnd"/>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 xml:space="preserve">(optional). Text </w:t>
      </w:r>
      <w:proofErr w:type="gramStart"/>
      <w:r w:rsidRPr="004676D7">
        <w:rPr>
          <w:rFonts w:asciiTheme="majorHAnsi" w:hAnsiTheme="majorHAnsi"/>
        </w:rPr>
        <w:t>string</w:t>
      </w:r>
      <w:proofErr w:type="gramEnd"/>
      <w:r w:rsidRPr="004676D7">
        <w:rPr>
          <w:rFonts w:asciiTheme="majorHAnsi" w:hAnsiTheme="majorHAnsi"/>
        </w:rPr>
        <w:t xml:space="preserve">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w:t>
      </w:r>
      <w:proofErr w:type="spellStart"/>
      <w:r w:rsidRPr="00AA2990">
        <w:rPr>
          <w:rFonts w:asciiTheme="majorHAnsi" w:hAnsiTheme="majorHAnsi"/>
        </w:rPr>
        <w:t>lucode</w:t>
      </w:r>
      <w:proofErr w:type="spellEnd"/>
      <w:r w:rsidRPr="00AA2990">
        <w:rPr>
          <w:rFonts w:asciiTheme="majorHAnsi" w:hAnsiTheme="majorHAnsi"/>
        </w:rPr>
        <w:t>* values in the **Biophysical table**.</w:t>
      </w:r>
    </w:p>
    <w:p w14:paraId="22841A4A" w14:textId="77777777" w:rsidR="00CD64F2" w:rsidRPr="00481779" w:rsidRDefault="00CD64F2" w:rsidP="00CD64F2">
      <w:pPr>
        <w:rPr>
          <w:rFonts w:asciiTheme="majorHAnsi" w:hAnsiTheme="majorHAnsi"/>
        </w:rPr>
      </w:pPr>
    </w:p>
    <w:p w14:paraId="40F148F2" w14:textId="2A6CEF9F"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lastRenderedPageBreak/>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 xml:space="preserve">must be included (though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711A0BC7" w:rsidR="00CD64F2" w:rsidRPr="004D306F" w:rsidRDefault="004D306F" w:rsidP="00AA2990">
      <w:pPr>
        <w:ind w:firstLine="720"/>
        <w:rPr>
          <w:rFonts w:asciiTheme="majorHAnsi" w:hAnsiTheme="majorHAnsi"/>
        </w:rPr>
      </w:pPr>
      <w:r>
        <w:rPr>
          <w:rFonts w:asciiTheme="majorHAnsi" w:hAnsiTheme="majorHAnsi"/>
        </w:rPr>
        <w:t xml:space="preserve">The 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proofErr w:type="spellStart"/>
      <w:proofErr w:type="gramStart"/>
      <w:r w:rsidRPr="004D306F">
        <w:rPr>
          <w:rFonts w:asciiTheme="majorHAnsi" w:hAnsiTheme="majorHAnsi"/>
          <w:b/>
        </w:rPr>
        <w:t>lucode</w:t>
      </w:r>
      <w:proofErr w:type="spellEnd"/>
      <w:proofErr w:type="gram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belowground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soil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dead matter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32130813" w:rsidR="00CD64F2" w:rsidRPr="004D306F" w:rsidRDefault="00CD64F2" w:rsidP="004D306F">
      <w:pPr>
        <w:rPr>
          <w:rFonts w:asciiTheme="majorHAnsi" w:hAnsiTheme="majorHAnsi"/>
        </w:rPr>
      </w:pPr>
      <w:r w:rsidRPr="004D306F">
        <w:rPr>
          <w:rFonts w:asciiTheme="majorHAnsi" w:hAnsiTheme="majorHAnsi"/>
          <w:i/>
        </w:rPr>
        <w:t>Example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Evergreen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Deciduous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Closed </w:t>
            </w:r>
            <w:proofErr w:type="spellStart"/>
            <w:r>
              <w:rPr>
                <w:rFonts w:ascii="Calibri" w:hAnsi="Calibri"/>
                <w:color w:val="000000"/>
                <w:sz w:val="22"/>
                <w:szCs w:val="22"/>
              </w:rPr>
              <w:t>Shrublands</w:t>
            </w:r>
            <w:proofErr w:type="spellEnd"/>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Open </w:t>
            </w:r>
            <w:proofErr w:type="spellStart"/>
            <w:r>
              <w:rPr>
                <w:rFonts w:ascii="Calibri" w:hAnsi="Calibri"/>
                <w:color w:val="000000"/>
                <w:sz w:val="22"/>
                <w:szCs w:val="22"/>
              </w:rPr>
              <w:t>Shrublands</w:t>
            </w:r>
            <w:proofErr w:type="spellEnd"/>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w:t>
      </w:r>
      <w:proofErr w:type="gramStart"/>
      <w:r>
        <w:rPr>
          <w:rFonts w:asciiTheme="majorHAnsi" w:hAnsiTheme="majorHAnsi"/>
        </w:rPr>
        <w:t>do</w:t>
      </w:r>
      <w:proofErr w:type="gramEnd"/>
      <w:r>
        <w:rPr>
          <w:rFonts w:asciiTheme="majorHAnsi" w:hAnsiTheme="majorHAnsi"/>
        </w:rPr>
        <w:t xml:space="preserve">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 xml:space="preserve">Carbon Pools to </w:t>
      </w:r>
      <w:proofErr w:type="gramStart"/>
      <w:r w:rsidRPr="00AA2990">
        <w:rPr>
          <w:rFonts w:asciiTheme="majorHAnsi" w:hAnsiTheme="majorHAnsi"/>
          <w:b/>
        </w:rPr>
        <w:t>C</w:t>
      </w:r>
      <w:r w:rsidR="00D07BB5" w:rsidRPr="00AA2990">
        <w:rPr>
          <w:rFonts w:asciiTheme="majorHAnsi" w:hAnsiTheme="majorHAnsi"/>
          <w:b/>
        </w:rPr>
        <w:t>alculate</w:t>
      </w:r>
      <w:proofErr w:type="gramEnd"/>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D07BB5" w:rsidRPr="00AA2990">
        <w:rPr>
          <w:rFonts w:asciiTheme="majorHAnsi" w:hAnsiTheme="majorHAnsi"/>
        </w:rPr>
        <w:t>optional</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xml:space="preserve">). The rows contain the coefficients of the unique parameters for each 100 x 100 km </w:t>
      </w:r>
      <w:proofErr w:type="spellStart"/>
      <w:r w:rsidR="00465D89" w:rsidRPr="00AA2990">
        <w:rPr>
          <w:rFonts w:asciiTheme="majorHAnsi" w:hAnsiTheme="majorHAnsi"/>
        </w:rPr>
        <w:t>subregion</w:t>
      </w:r>
      <w:proofErr w:type="spellEnd"/>
      <w:r w:rsidR="00465D89" w:rsidRPr="00AA2990">
        <w:rPr>
          <w:rFonts w:asciiTheme="majorHAnsi" w:hAnsiTheme="majorHAnsi"/>
        </w:rPr>
        <w:t xml:space="preserve">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(optional)</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(optional)</w:t>
      </w:r>
      <w:r w:rsidRPr="00AA2990">
        <w:rPr>
          <w:rFonts w:asciiTheme="majorHAnsi" w:hAnsiTheme="majorHAnsi"/>
        </w:rPr>
        <w:t>. T</w:t>
      </w:r>
      <w:r w:rsidR="00CD64F2" w:rsidRPr="00AA2990">
        <w:rPr>
          <w:rFonts w:asciiTheme="majorHAnsi" w:hAnsiTheme="majorHAnsi"/>
        </w:rPr>
        <w:t xml:space="preserve">he </w:t>
      </w:r>
      <w:r w:rsidRPr="00AA2990">
        <w:rPr>
          <w:rFonts w:asciiTheme="majorHAnsi" w:hAnsiTheme="majorHAnsi"/>
        </w:rPr>
        <w:t xml:space="preserve">floating point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proofErr w:type="gramStart"/>
      <w:r w:rsidR="00CD64F2" w:rsidRPr="00AA2990">
        <w:rPr>
          <w:rFonts w:asciiTheme="majorHAnsi" w:hAnsiTheme="majorHAnsi"/>
        </w:rPr>
        <w:t>only</w:t>
      </w:r>
      <w:proofErr w:type="gramEnd"/>
      <w:r w:rsidR="00CD64F2" w:rsidRPr="00AA2990">
        <w:rPr>
          <w:rFonts w:asciiTheme="majorHAnsi" w:hAnsiTheme="majorHAnsi"/>
        </w:rPr>
        <w:t xml:space="preserve">;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w:t>
      </w:r>
      <w:proofErr w:type="spellStart"/>
      <w:r w:rsidR="00481779" w:rsidRPr="00AA2990">
        <w:rPr>
          <w:rFonts w:asciiTheme="majorHAnsi" w:hAnsiTheme="majorHAnsi"/>
        </w:rPr>
        <w:t>subregions</w:t>
      </w:r>
      <w:proofErr w:type="spellEnd"/>
      <w:r w:rsidR="00481779" w:rsidRPr="00AA2990">
        <w:rPr>
          <w:rFonts w:asciiTheme="majorHAnsi" w:hAnsiTheme="majorHAnsi"/>
        </w:rPr>
        <w:t xml:space="preserve"> (e.g., ecoregions, districts, etc.) can be included.</w:t>
      </w:r>
      <w:r w:rsidR="00093B4F" w:rsidRPr="00AA2990">
        <w:rPr>
          <w:rFonts w:asciiTheme="majorHAnsi" w:hAnsiTheme="majorHAnsi"/>
        </w:rPr>
        <w:t xml:space="preserve"> Carbon values will be aggregated within these region/</w:t>
      </w:r>
      <w:proofErr w:type="spellStart"/>
      <w:r w:rsidR="00093B4F" w:rsidRPr="00AA2990">
        <w:rPr>
          <w:rFonts w:asciiTheme="majorHAnsi" w:hAnsiTheme="majorHAnsi"/>
        </w:rPr>
        <w:t>subregion</w:t>
      </w:r>
      <w:proofErr w:type="spellEnd"/>
      <w:r w:rsidR="00093B4F" w:rsidRPr="00AA2990">
        <w:rPr>
          <w:rFonts w:asciiTheme="majorHAnsi" w:hAnsiTheme="majorHAnsi"/>
        </w:rPr>
        <w:t xml:space="preserve">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lastRenderedPageBreak/>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058393E0"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r>
        <w:rPr>
          <w:rFonts w:ascii="Calibri Light" w:hAnsi="Calibri Light" w:cs="Lucida Grande"/>
          <w:b/>
          <w:color w:val="000000"/>
        </w:rPr>
        <w:t>_&lt;S</w:t>
      </w:r>
      <w:r w:rsidR="00001CEC">
        <w:rPr>
          <w:rFonts w:ascii="Calibri Light" w:hAnsi="Calibri Light" w:cs="Lucida Grande"/>
          <w:b/>
          <w:color w:val="000000"/>
        </w:rPr>
        <w:t>uffix&gt;</w:t>
      </w:r>
      <w:r>
        <w:rPr>
          <w:rFonts w:ascii="Calibri Light" w:hAnsi="Calibri Light" w:cs="Lucida Grande"/>
          <w:b/>
          <w:color w:val="000000"/>
        </w:rPr>
        <w:t>.</w:t>
      </w:r>
      <w:proofErr w:type="spellStart"/>
      <w:r>
        <w:rPr>
          <w:rFonts w:ascii="Calibri Light" w:hAnsi="Calibri Light" w:cs="Lucida Grande"/>
          <w:b/>
          <w:color w:val="000000"/>
        </w:rPr>
        <w:t>tif</w:t>
      </w:r>
      <w:proofErr w:type="spellEnd"/>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2117B91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855EBA">
        <w:rPr>
          <w:rFonts w:ascii="Calibri Light" w:hAnsi="Calibri Light" w:cs="Lucida Grande"/>
          <w:b/>
          <w:color w:val="000000"/>
        </w:rPr>
        <w:t>_&lt;Suffix&gt;.</w:t>
      </w:r>
      <w:proofErr w:type="spellStart"/>
      <w:r w:rsidR="00855EBA">
        <w:rPr>
          <w:rFonts w:ascii="Calibri Light" w:hAnsi="Calibri Light" w:cs="Lucida Grande"/>
          <w:b/>
          <w:color w:val="000000"/>
        </w:rPr>
        <w:t>shp</w:t>
      </w:r>
      <w:proofErr w:type="spellEnd"/>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c_sum</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c_ha_mean</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c_above_carbon_stocks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belowground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dead matter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proofErr w:type="spellEnd"/>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 xml:space="preserve">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45D2BE5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45640">
        <w:rPr>
          <w:rFonts w:ascii="Calibri Light" w:hAnsi="Calibri Light" w:cs="Lucida Grande"/>
          <w:b/>
          <w:color w:val="000000"/>
        </w:rPr>
        <w:t>edge_distance</w:t>
      </w:r>
      <w:proofErr w:type="spellEnd"/>
      <w:r w:rsidR="00545640">
        <w:rPr>
          <w:rFonts w:ascii="Calibri Light" w:hAnsi="Calibri Light" w:cs="Lucida Grande"/>
          <w:b/>
          <w:color w:val="000000"/>
        </w:rPr>
        <w:t>_&lt;S</w:t>
      </w:r>
      <w:r w:rsidR="003C4DE2">
        <w:rPr>
          <w:rFonts w:ascii="Calibri Light" w:hAnsi="Calibri Light" w:cs="Lucida Grande"/>
          <w:b/>
          <w:color w:val="000000"/>
        </w:rPr>
        <w:t>uffix&gt;</w:t>
      </w:r>
      <w:r w:rsidR="00545640">
        <w:rPr>
          <w:rFonts w:ascii="Calibri Light" w:hAnsi="Calibri Light" w:cs="Lucida Grande"/>
          <w:b/>
          <w:color w:val="000000"/>
        </w:rPr>
        <w:t>.</w:t>
      </w:r>
      <w:proofErr w:type="spellStart"/>
      <w:r w:rsidR="00545640">
        <w:rPr>
          <w:rFonts w:ascii="Calibri Light" w:hAnsi="Calibri Light" w:cs="Lucida Grande"/>
          <w:b/>
          <w:color w:val="000000"/>
        </w:rPr>
        <w:t>tif</w:t>
      </w:r>
      <w:proofErr w:type="spellEnd"/>
      <w:r w:rsidR="00AA2990">
        <w:rPr>
          <w:rFonts w:ascii="Calibri Light" w:hAnsi="Calibri Light" w:cs="Lucida Grande"/>
          <w:color w:val="000000"/>
        </w:rPr>
        <w:t>. T</w:t>
      </w:r>
      <w:bookmarkStart w:id="1" w:name="_GoBack"/>
      <w:bookmarkEnd w:id="1"/>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lastRenderedPageBreak/>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w:t>
      </w:r>
      <w:proofErr w:type="spellStart"/>
      <w:r w:rsidRPr="00E73B1D">
        <w:rPr>
          <w:rFonts w:asciiTheme="majorHAnsi" w:hAnsiTheme="majorHAnsi"/>
          <w:lang w:val="es-ES_tradnl"/>
        </w:rPr>
        <w:t>Laporte</w:t>
      </w:r>
      <w:proofErr w:type="spellEnd"/>
      <w:r w:rsidRPr="00E73B1D">
        <w:rPr>
          <w:rFonts w:asciiTheme="majorHAnsi" w:hAnsiTheme="majorHAnsi"/>
          <w:lang w:val="es-ES_tradnl"/>
        </w:rPr>
        <w:t xml:space="preserv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Change</w:t>
      </w:r>
      <w:proofErr w:type="spellEnd"/>
      <w:r w:rsidRPr="00E73B1D">
        <w:rPr>
          <w:rFonts w:asciiTheme="majorHAnsi" w:hAnsiTheme="majorHAnsi"/>
          <w:lang w:val="es-ES_tradnl"/>
        </w:rPr>
        <w:t xml:space="preserv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w:t>
      </w:r>
      <w:proofErr w:type="spellStart"/>
      <w:r w:rsidRPr="00E73B1D">
        <w:rPr>
          <w:rFonts w:asciiTheme="majorHAnsi" w:hAnsiTheme="majorHAnsi"/>
          <w:lang w:val="es-ES_tradnl"/>
        </w:rPr>
        <w:t>Kramer</w:t>
      </w:r>
      <w:proofErr w:type="spellEnd"/>
      <w:r w:rsidRPr="00E73B1D">
        <w:rPr>
          <w:rFonts w:asciiTheme="majorHAnsi" w:hAnsiTheme="majorHAnsi"/>
          <w:lang w:val="es-ES_tradnl"/>
        </w:rPr>
        <w:t xml:space="preserve">,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w:t>
      </w:r>
      <w:proofErr w:type="spellStart"/>
      <w:r w:rsidRPr="00E73B1D">
        <w:rPr>
          <w:rFonts w:asciiTheme="majorHAnsi" w:hAnsiTheme="majorHAnsi"/>
          <w:lang w:val="es-ES_tradnl"/>
        </w:rPr>
        <w:t>Haddad</w:t>
      </w:r>
      <w:proofErr w:type="spellEnd"/>
      <w:r w:rsidRPr="00E73B1D">
        <w:rPr>
          <w:rFonts w:asciiTheme="majorHAnsi" w:hAnsiTheme="majorHAnsi"/>
          <w:lang w:val="es-ES_tradnl"/>
        </w:rPr>
        <w:t xml:space="preserve">, J. S. </w:t>
      </w:r>
      <w:proofErr w:type="spellStart"/>
      <w:r w:rsidRPr="00E73B1D">
        <w:rPr>
          <w:rFonts w:asciiTheme="majorHAnsi" w:hAnsiTheme="majorHAnsi"/>
          <w:lang w:val="es-ES_tradnl"/>
        </w:rPr>
        <w:t>Gerber</w:t>
      </w:r>
      <w:proofErr w:type="spellEnd"/>
      <w:r w:rsidRPr="00E73B1D">
        <w:rPr>
          <w:rFonts w:asciiTheme="majorHAnsi" w:hAnsiTheme="majorHAnsi"/>
          <w:lang w:val="es-ES_tradnl"/>
        </w:rPr>
        <w:t xml:space="preserve">,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w:t>
      </w:r>
      <w:proofErr w:type="spellStart"/>
      <w:r w:rsidRPr="00E73B1D">
        <w:rPr>
          <w:rFonts w:asciiTheme="majorHAnsi" w:hAnsiTheme="majorHAnsi"/>
          <w:lang w:val="es-ES_tradnl"/>
        </w:rPr>
        <w:t>Mueller</w:t>
      </w:r>
      <w:proofErr w:type="spellEnd"/>
      <w:r w:rsidRPr="00E73B1D">
        <w:rPr>
          <w:rFonts w:asciiTheme="majorHAnsi" w:hAnsiTheme="majorHAnsi"/>
          <w:lang w:val="es-ES_tradnl"/>
        </w:rPr>
        <w:t xml:space="preserve">,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proofErr w:type="gramStart"/>
      <w:r w:rsidRPr="00E73B1D">
        <w:rPr>
          <w:rFonts w:asciiTheme="majorHAnsi" w:hAnsiTheme="majorHAnsi"/>
        </w:rPr>
        <w:t>Intergovernmental Panel on Climate Change (IPCC).</w:t>
      </w:r>
      <w:proofErr w:type="gramEnd"/>
      <w:r w:rsidRPr="00E73B1D">
        <w:rPr>
          <w:rFonts w:asciiTheme="majorHAnsi" w:hAnsiTheme="majorHAnsi"/>
        </w:rPr>
        <w:t xml:space="preserve">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 F., 1997. </w:t>
      </w:r>
      <w:proofErr w:type="gramStart"/>
      <w:r>
        <w:rPr>
          <w:rFonts w:asciiTheme="majorHAnsi" w:hAnsiTheme="majorHAnsi"/>
        </w:rPr>
        <w:t>Biomass Collapse in Amazonian Forest Fragments.</w:t>
      </w:r>
      <w:proofErr w:type="gramEnd"/>
      <w:r>
        <w:rPr>
          <w:rFonts w:asciiTheme="majorHAnsi" w:hAnsiTheme="majorHAnsi"/>
        </w:rPr>
        <w:t xml:space="preserve">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W.F., 2000. Do edge effects occur over large spatial scales? </w:t>
      </w:r>
      <w:proofErr w:type="gramStart"/>
      <w:r>
        <w:rPr>
          <w:rFonts w:asciiTheme="majorHAnsi" w:hAnsiTheme="majorHAnsi"/>
        </w:rPr>
        <w:t>Trends in ecology &amp; evolution 15, 134–135.</w:t>
      </w:r>
      <w:proofErr w:type="gramEnd"/>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William F., Williamson, G.B., 2001. </w:t>
      </w:r>
      <w:proofErr w:type="gramStart"/>
      <w:r>
        <w:rPr>
          <w:rFonts w:asciiTheme="majorHAnsi" w:hAnsiTheme="majorHAnsi"/>
        </w:rPr>
        <w:t>Positive Feedbacks among Forest Fragmentation, Drought, and Climate Change in the Amazon.</w:t>
      </w:r>
      <w:proofErr w:type="gramEnd"/>
      <w:r>
        <w:rPr>
          <w:rFonts w:asciiTheme="majorHAnsi" w:hAnsiTheme="majorHAnsi"/>
        </w:rPr>
        <w:t xml:space="preserve">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proofErr w:type="gramStart"/>
      <w:r>
        <w:rPr>
          <w:rFonts w:asciiTheme="majorHAnsi" w:hAnsiTheme="majorHAnsi"/>
        </w:rPr>
        <w:t>Laurance</w:t>
      </w:r>
      <w:proofErr w:type="spellEnd"/>
      <w:r>
        <w:rPr>
          <w:rFonts w:asciiTheme="majorHAnsi" w:hAnsiTheme="majorHAnsi"/>
        </w:rPr>
        <w:t xml:space="preserve">, W., Lovejoy, T., </w:t>
      </w:r>
      <w:proofErr w:type="spellStart"/>
      <w:r>
        <w:rPr>
          <w:rFonts w:asciiTheme="majorHAnsi" w:hAnsiTheme="majorHAnsi"/>
        </w:rPr>
        <w:t>Vasconcelos</w:t>
      </w:r>
      <w:proofErr w:type="spellEnd"/>
      <w:r>
        <w:rPr>
          <w:rFonts w:asciiTheme="majorHAnsi" w:hAnsiTheme="majorHAnsi"/>
        </w:rPr>
        <w:t xml:space="preserve">, H., Bruna, E., </w:t>
      </w:r>
      <w:proofErr w:type="spellStart"/>
      <w:r>
        <w:rPr>
          <w:rFonts w:asciiTheme="majorHAnsi" w:hAnsiTheme="majorHAnsi"/>
        </w:rPr>
        <w:t>Didham</w:t>
      </w:r>
      <w:proofErr w:type="spellEnd"/>
      <w:r>
        <w:rPr>
          <w:rFonts w:asciiTheme="majorHAnsi" w:hAnsiTheme="majorHAnsi"/>
        </w:rPr>
        <w:t xml:space="preserve">, R., Stouffer, P., </w:t>
      </w:r>
      <w:proofErr w:type="spellStart"/>
      <w:r>
        <w:rPr>
          <w:rFonts w:asciiTheme="majorHAnsi" w:hAnsiTheme="majorHAnsi"/>
        </w:rPr>
        <w:t>Gascon</w:t>
      </w:r>
      <w:proofErr w:type="spellEnd"/>
      <w:r>
        <w:rPr>
          <w:rFonts w:asciiTheme="majorHAnsi" w:hAnsiTheme="majorHAnsi"/>
        </w:rPr>
        <w:t xml:space="preserve">,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xml:space="preserve">, S., </w:t>
      </w:r>
      <w:proofErr w:type="spellStart"/>
      <w:r>
        <w:rPr>
          <w:rFonts w:asciiTheme="majorHAnsi" w:hAnsiTheme="majorHAnsi"/>
        </w:rPr>
        <w:t>Sampaio</w:t>
      </w:r>
      <w:proofErr w:type="spellEnd"/>
      <w:r>
        <w:rPr>
          <w:rFonts w:asciiTheme="majorHAnsi" w:hAnsiTheme="majorHAnsi"/>
        </w:rPr>
        <w:t>, E., 2002.</w:t>
      </w:r>
      <w:proofErr w:type="gramEnd"/>
      <w:r>
        <w:rPr>
          <w:rFonts w:asciiTheme="majorHAnsi" w:hAnsiTheme="majorHAnsi"/>
        </w:rPr>
        <w:t xml:space="preserve">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lastRenderedPageBreak/>
        <w:t xml:space="preserve">Nelson, E., et al. 2010. </w:t>
      </w:r>
      <w:proofErr w:type="gramStart"/>
      <w:r w:rsidRPr="005D64F2">
        <w:rPr>
          <w:rFonts w:asciiTheme="majorHAnsi" w:hAnsiTheme="majorHAnsi"/>
        </w:rPr>
        <w:t>Projecting global land-use change and its effect on ecosystem service provision and biodiversity with simple models.</w:t>
      </w:r>
      <w:proofErr w:type="gramEnd"/>
      <w:r w:rsidRPr="005D64F2">
        <w:rPr>
          <w:rFonts w:asciiTheme="majorHAnsi" w:hAnsiTheme="majorHAnsi"/>
        </w:rPr>
        <w:t xml:space="preserve">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3B626" w14:textId="77777777" w:rsidR="00561ADF" w:rsidRDefault="00561ADF" w:rsidP="00794109">
      <w:r>
        <w:separator/>
      </w:r>
    </w:p>
  </w:endnote>
  <w:endnote w:type="continuationSeparator" w:id="0">
    <w:p w14:paraId="5BB8DAD4" w14:textId="77777777" w:rsidR="00561ADF" w:rsidRDefault="00561ADF" w:rsidP="00794109">
      <w:r>
        <w:continuationSeparator/>
      </w:r>
    </w:p>
  </w:endnote>
  <w:endnote w:type="continuationNotice" w:id="1">
    <w:p w14:paraId="3FA6B3CE" w14:textId="77777777" w:rsidR="00561ADF" w:rsidRDefault="00561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32C4E" w14:textId="77777777" w:rsidR="00561ADF" w:rsidRDefault="00561ADF" w:rsidP="00794109">
      <w:r>
        <w:separator/>
      </w:r>
    </w:p>
  </w:footnote>
  <w:footnote w:type="continuationSeparator" w:id="0">
    <w:p w14:paraId="3CE0F13C" w14:textId="77777777" w:rsidR="00561ADF" w:rsidRDefault="00561ADF" w:rsidP="00794109">
      <w:r>
        <w:continuationSeparator/>
      </w:r>
    </w:p>
  </w:footnote>
  <w:footnote w:type="continuationNotice" w:id="1">
    <w:p w14:paraId="5AD1092F" w14:textId="77777777" w:rsidR="00561ADF" w:rsidRDefault="00561AD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1ADF"/>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2990"/>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A8B-E177-407A-A937-9F0E5561F34B}">
  <ds:schemaRefs>
    <ds:schemaRef ds:uri="http://schemas.openxmlformats.org/officeDocument/2006/bibliography"/>
  </ds:schemaRefs>
</ds:datastoreItem>
</file>

<file path=customXml/itemProps2.xml><?xml version="1.0" encoding="utf-8"?>
<ds:datastoreItem xmlns:ds="http://schemas.openxmlformats.org/officeDocument/2006/customXml" ds:itemID="{ADF68044-2F32-49E9-A9BC-0EA77451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27</cp:revision>
  <dcterms:created xsi:type="dcterms:W3CDTF">2019-01-15T22:57:00Z</dcterms:created>
  <dcterms:modified xsi:type="dcterms:W3CDTF">2019-01-19T19:52:00Z</dcterms:modified>
</cp:coreProperties>
</file>