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rPr>
          <w:rFonts w:ascii="Georgia" w:hAnsi="Georgia"/>
          <w:b/>
          <w:color w:val="0F1A2E"/>
          <w:sz w:val="40"/>
        </w:rPr>
        <w:t>Dental / DenClass Product Charter</w:t>
      </w:r>
    </w:p>
    <w:p>
      <w:pPr>
        <w:pStyle w:val="Subtitle"/>
        <w:spacing w:after="80"/>
      </w:pPr>
      <w:r>
        <w:rPr>
          <w:rFonts w:ascii="Aptos" w:hAnsi="Aptos"/>
          <w:i/>
          <w:color w:val="5A6680"/>
          <w:sz w:val="20"/>
        </w:rPr>
        <w:t>PI 4 Modernization Baseline</w:t>
      </w:r>
    </w:p>
    <w:tbl>
      <w:tblPr>
        <w:tblW w:type="auto" w:w="0"/>
        <w:jc w:val="left"/>
        <w:tblLayout w:type="fixed"/>
        <w:tblLook w:firstColumn="1" w:firstRow="1" w:lastColumn="0" w:lastRow="0" w:noHBand="0" w:noVBand="1" w:val="04A0"/>
      </w:tblPr>
      <w:tblGrid>
        <w:gridCol w:w="10080"/>
      </w:tblGrid>
      <w:tr>
        <w:tc>
          <w:tcPr>
            <w:tcW w:type="dxa" w:w="9792"/>
            <w:shd w:fill="1A5CA0"/>
          </w:tcPr>
          <w:p>
            <w:pPr>
              <w:spacing w:after="0"/>
            </w:pPr>
            <w:r/>
          </w:p>
        </w:tc>
      </w:tr>
    </w:tbl>
    <w:tbl>
      <w:tblPr>
        <w:tblW w:type="auto" w:w="0"/>
        <w:jc w:val="left"/>
        <w:tblLayout w:type="fixed"/>
        <w:tblLook w:firstColumn="1" w:firstRow="1" w:lastColumn="0" w:lastRow="0" w:noHBand="0" w:noVBand="1" w:val="04A0"/>
      </w:tblPr>
      <w:tblGrid>
        <w:gridCol w:w="2520"/>
        <w:gridCol w:w="2520"/>
        <w:gridCol w:w="2520"/>
        <w:gridCol w:w="2520"/>
      </w:tblGrid>
      <w:tr>
        <w:tc>
          <w:tcPr>
            <w:tcW w:type="dxa" w:w="2088"/>
            <w:vAlign w:val="center"/>
          </w:tcPr>
          <w:p>
            <w:pPr>
              <w:spacing w:after="0"/>
              <w:jc w:val="left"/>
            </w:pPr>
            <w:r>
              <w:rPr>
                <w:rFonts w:ascii="Aptos" w:hAnsi="Aptos"/>
                <w:b/>
                <w:color w:val="5A6680"/>
                <w:sz w:val="15"/>
              </w:rPr>
              <w:t>DATE</w:t>
              <w:br/>
            </w:r>
            <w:r>
              <w:rPr>
                <w:rFonts w:ascii="Aptos" w:hAnsi="Aptos"/>
                <w:b w:val="0"/>
                <w:color w:val="0F1A2E"/>
                <w:sz w:val="18"/>
              </w:rPr>
              <w:t>2026-03-24</w:t>
            </w:r>
          </w:p>
        </w:tc>
        <w:tc>
          <w:tcPr>
            <w:tcW w:type="dxa" w:w="1440"/>
            <w:vAlign w:val="center"/>
          </w:tcPr>
          <w:p>
            <w:pPr>
              <w:spacing w:after="0"/>
              <w:jc w:val="left"/>
            </w:pPr>
            <w:r>
              <w:rPr>
                <w:rFonts w:ascii="Aptos" w:hAnsi="Aptos"/>
                <w:b/>
                <w:color w:val="5A6680"/>
                <w:sz w:val="15"/>
              </w:rPr>
              <w:t>AUTHOR</w:t>
              <w:br/>
            </w:r>
            <w:r>
              <w:rPr>
                <w:rFonts w:ascii="Aptos" w:hAnsi="Aptos"/>
                <w:b w:val="0"/>
                <w:color w:val="0F1A2E"/>
                <w:sz w:val="18"/>
              </w:rPr>
              <w:t>Jaden Cole</w:t>
            </w:r>
          </w:p>
        </w:tc>
        <w:tc>
          <w:tcPr>
            <w:tcW w:type="dxa" w:w="1728"/>
            <w:vAlign w:val="center"/>
          </w:tcPr>
          <w:p>
            <w:pPr>
              <w:spacing w:after="0"/>
              <w:jc w:val="left"/>
            </w:pPr>
            <w:r>
              <w:rPr>
                <w:rFonts w:ascii="Aptos" w:hAnsi="Aptos"/>
                <w:b/>
                <w:color w:val="5A6680"/>
                <w:sz w:val="15"/>
              </w:rPr>
              <w:t>PRODUCT</w:t>
              <w:br/>
            </w:r>
            <w:r>
              <w:rPr>
                <w:rFonts w:ascii="Aptos" w:hAnsi="Aptos"/>
                <w:b w:val="0"/>
                <w:color w:val="0F1A2E"/>
                <w:sz w:val="18"/>
              </w:rPr>
              <w:t>Dental</w:t>
            </w:r>
          </w:p>
        </w:tc>
        <w:tc>
          <w:tcPr>
            <w:tcW w:type="dxa" w:w="2376"/>
            <w:vAlign w:val="center"/>
          </w:tcPr>
          <w:p>
            <w:pPr>
              <w:spacing w:after="0"/>
              <w:jc w:val="left"/>
            </w:pPr>
            <w:r>
              <w:rPr>
                <w:rFonts w:ascii="Aptos" w:hAnsi="Aptos"/>
                <w:b/>
                <w:color w:val="5A6680"/>
                <w:sz w:val="15"/>
              </w:rPr>
              <w:t>TYPE</w:t>
              <w:br/>
            </w:r>
            <w:r>
              <w:rPr>
                <w:rFonts w:ascii="Aptos" w:hAnsi="Aptos"/>
                <w:b w:val="0"/>
                <w:color w:val="0F1A2E"/>
                <w:sz w:val="18"/>
              </w:rPr>
              <w:t>Product Charter</w:t>
            </w:r>
          </w:p>
        </w:tc>
      </w:tr>
    </w:tbl>
    <w:p>
      <w:pPr>
        <w:pStyle w:val="Heading1"/>
        <w:spacing w:before="40" w:after="40"/>
      </w:pPr>
      <w:r>
        <w:rPr>
          <w:rFonts w:ascii="Georgia" w:hAnsi="Georgia"/>
          <w:b/>
          <w:color w:val="1A5CA0"/>
          <w:sz w:val="26"/>
        </w:rPr>
        <w:t>Purpose</w:t>
      </w:r>
    </w:p>
    <w:p>
      <w:pPr>
        <w:spacing w:line="240" w:lineRule="auto" w:after="60"/>
      </w:pPr>
      <w:r>
        <w:rPr>
          <w:rFonts w:ascii="Aptos" w:hAnsi="Aptos"/>
          <w:i w:val="0"/>
          <w:color w:val="0F1A2E"/>
          <w:sz w:val="20"/>
        </w:rPr>
        <w:t>Dental / DenClass exists to modernize referral and eligibility workflows for the Dental Services product line. In this prototype pack, the charter serves as the durable source of product purpose, scope, ownership, and success measures.</w:t>
      </w:r>
    </w:p>
    <w:p>
      <w:pPr>
        <w:pStyle w:val="Heading1"/>
        <w:spacing w:before="40" w:after="40"/>
      </w:pPr>
      <w:r>
        <w:rPr>
          <w:rFonts w:ascii="Georgia" w:hAnsi="Georgia"/>
          <w:b/>
          <w:color w:val="1A5CA0"/>
          <w:sz w:val="26"/>
        </w:rPr>
        <w:t>Business Problem</w:t>
      </w:r>
    </w:p>
    <w:p>
      <w:pPr>
        <w:spacing w:line="240" w:lineRule="auto" w:after="60"/>
      </w:pPr>
      <w:r>
        <w:rPr>
          <w:rFonts w:ascii="Aptos" w:hAnsi="Aptos"/>
          <w:i w:val="0"/>
          <w:color w:val="0F1A2E"/>
          <w:sz w:val="20"/>
        </w:rPr>
        <w:t>The current workflow depends on fragmented referral handling, inconsistent status tracking, and reporting that is too dependent on personal knowledge. The modernization effort introduces a FHIR-oriented integration path, cleaner reporting, and stronger delivery traceability.</w:t>
      </w:r>
    </w:p>
    <w:p>
      <w:pPr>
        <w:pStyle w:val="Heading1"/>
        <w:spacing w:before="40" w:after="40"/>
      </w:pPr>
      <w:r>
        <w:rPr>
          <w:rFonts w:ascii="Georgia" w:hAnsi="Georgia"/>
          <w:b/>
          <w:color w:val="1A5CA0"/>
          <w:sz w:val="26"/>
        </w:rPr>
        <w:t>Goals</w:t>
      </w:r>
    </w:p>
    <w:p>
      <w:pPr>
        <w:spacing w:after="40"/>
        <w:ind w:left="259" w:hanging="173"/>
      </w:pPr>
      <w:r>
        <w:rPr>
          <w:rFonts w:ascii="Aptos" w:hAnsi="Aptos"/>
          <w:b/>
          <w:color w:val="1A5CA0"/>
          <w:sz w:val="20"/>
        </w:rPr>
        <w:t xml:space="preserve">• </w:t>
      </w:r>
      <w:r>
        <w:rPr>
          <w:rFonts w:ascii="Aptos" w:hAnsi="Aptos"/>
          <w:color w:val="0F1A2E"/>
          <w:sz w:val="20"/>
        </w:rPr>
        <w:t>Establish a credible FHIR integration path for referral workflows.</w:t>
      </w:r>
    </w:p>
    <w:p>
      <w:pPr>
        <w:spacing w:after="40"/>
        <w:ind w:left="259" w:hanging="173"/>
      </w:pPr>
      <w:r>
        <w:rPr>
          <w:rFonts w:ascii="Aptos" w:hAnsi="Aptos"/>
          <w:b/>
          <w:color w:val="1A5CA0"/>
          <w:sz w:val="20"/>
        </w:rPr>
        <w:t xml:space="preserve">• </w:t>
      </w:r>
      <w:r>
        <w:rPr>
          <w:rFonts w:ascii="Aptos" w:hAnsi="Aptos"/>
          <w:color w:val="0F1A2E"/>
          <w:sz w:val="20"/>
        </w:rPr>
        <w:t>Improve reporting quality across weekly, sprint, and PI cadences.</w:t>
      </w:r>
    </w:p>
    <w:p>
      <w:pPr>
        <w:spacing w:after="40"/>
        <w:ind w:left="259" w:hanging="173"/>
      </w:pPr>
      <w:r>
        <w:rPr>
          <w:rFonts w:ascii="Aptos" w:hAnsi="Aptos"/>
          <w:b/>
          <w:color w:val="1A5CA0"/>
          <w:sz w:val="20"/>
        </w:rPr>
        <w:t xml:space="preserve">• </w:t>
      </w:r>
      <w:r>
        <w:rPr>
          <w:rFonts w:ascii="Aptos" w:hAnsi="Aptos"/>
          <w:color w:val="0F1A2E"/>
          <w:sz w:val="20"/>
        </w:rPr>
        <w:t>Reduce hidden dependency risk by making owners, dates, and decisions explicit.</w:t>
      </w:r>
    </w:p>
    <w:p>
      <w:pPr>
        <w:spacing w:after="40"/>
        <w:ind w:left="259" w:hanging="173"/>
      </w:pPr>
      <w:r>
        <w:rPr>
          <w:rFonts w:ascii="Aptos" w:hAnsi="Aptos"/>
          <w:b/>
          <w:color w:val="1A5CA0"/>
          <w:sz w:val="20"/>
        </w:rPr>
        <w:t xml:space="preserve">• </w:t>
      </w:r>
      <w:r>
        <w:rPr>
          <w:rFonts w:ascii="Aptos" w:hAnsi="Aptos"/>
          <w:color w:val="0F1A2E"/>
          <w:sz w:val="20"/>
        </w:rPr>
        <w:t>Preserve continuity if product ownership changes.</w:t>
      </w:r>
    </w:p>
    <w:p>
      <w:pPr>
        <w:pStyle w:val="Heading1"/>
        <w:spacing w:before="40" w:after="40"/>
      </w:pPr>
      <w:r>
        <w:rPr>
          <w:rFonts w:ascii="Georgia" w:hAnsi="Georgia"/>
          <w:b/>
          <w:color w:val="1A5CA0"/>
          <w:sz w:val="26"/>
        </w:rPr>
        <w:t>In Scope</w:t>
      </w:r>
    </w:p>
    <w:p>
      <w:pPr>
        <w:spacing w:line="240" w:lineRule="auto" w:after="60"/>
      </w:pPr>
      <w:r>
        <w:rPr>
          <w:rFonts w:ascii="Aptos" w:hAnsi="Aptos"/>
          <w:i w:val="0"/>
          <w:color w:val="0F1A2E"/>
          <w:sz w:val="20"/>
        </w:rPr>
        <w:t>Referral workflow mapping, FHIR endpoint alignment, security assessment coordination, stakeholder-ready reporting artifacts, and PI 4 delivery alignment.</w:t>
      </w:r>
    </w:p>
    <w:p>
      <w:pPr>
        <w:pStyle w:val="Heading1"/>
        <w:spacing w:before="40" w:after="40"/>
      </w:pPr>
      <w:r>
        <w:rPr>
          <w:rFonts w:ascii="Georgia" w:hAnsi="Georgia"/>
          <w:b/>
          <w:color w:val="1A5CA0"/>
          <w:sz w:val="26"/>
        </w:rPr>
        <w:t>Out of Scope</w:t>
      </w:r>
    </w:p>
    <w:p>
      <w:pPr>
        <w:spacing w:line="240" w:lineRule="auto" w:after="60"/>
      </w:pPr>
      <w:r>
        <w:rPr>
          <w:rFonts w:ascii="Aptos" w:hAnsi="Aptos"/>
          <w:i w:val="0"/>
          <w:color w:val="0F1A2E"/>
          <w:sz w:val="20"/>
        </w:rPr>
        <w:t>Enterprise portfolio standardization across all DHA products, vendor contract restructuring, and permanent data-retention policy changes.</w:t>
      </w:r>
    </w:p>
    <w:p>
      <w:pPr>
        <w:pStyle w:val="Heading1"/>
        <w:spacing w:before="40" w:after="40"/>
      </w:pPr>
      <w:r>
        <w:rPr>
          <w:rFonts w:ascii="Georgia" w:hAnsi="Georgia"/>
          <w:b/>
          <w:color w:val="1A5CA0"/>
          <w:sz w:val="26"/>
        </w:rPr>
        <w:t>Primary Stakeholders</w:t>
      </w:r>
    </w:p>
    <w:p>
      <w:pPr>
        <w:spacing w:line="240" w:lineRule="auto" w:after="60"/>
      </w:pPr>
      <w:r>
        <w:rPr>
          <w:rFonts w:ascii="Aptos" w:hAnsi="Aptos"/>
          <w:i w:val="0"/>
          <w:color w:val="0F1A2E"/>
          <w:sz w:val="20"/>
        </w:rPr>
        <w:t>Dr. Minji Sohl (acceptance authority), Juan Rivera (cost / operations reviewer), Lowry Beckett (dependency lead), and Benjiman Jennings (portfolio decision authority).</w:t>
      </w:r>
    </w:p>
    <w:p>
      <w:pPr>
        <w:pStyle w:val="Heading1"/>
        <w:spacing w:before="40" w:after="40"/>
      </w:pPr>
      <w:r>
        <w:rPr>
          <w:rFonts w:ascii="Georgia" w:hAnsi="Georgia"/>
          <w:b/>
          <w:color w:val="1A5CA0"/>
          <w:sz w:val="26"/>
        </w:rPr>
        <w:t>Success Measures</w:t>
      </w:r>
    </w:p>
    <w:p>
      <w:pPr>
        <w:spacing w:line="240" w:lineRule="auto" w:after="60"/>
      </w:pPr>
      <w:r>
        <w:rPr>
          <w:rFonts w:ascii="Aptos" w:hAnsi="Aptos"/>
          <w:i w:val="0"/>
          <w:color w:val="0F1A2E"/>
          <w:sz w:val="20"/>
        </w:rPr>
        <w:t>The product should be able to answer basic status, risk, blocker, and stakeholder questions from durable evidence rather than tribal knowledge. Weekly and PI reporting should reflect the same truth as risks, ADO, and meeting decisions.</w:t>
      </w:r>
    </w:p>
    <w:p>
      <w:pPr>
        <w:pStyle w:val="Heading1"/>
        <w:spacing w:before="40" w:after="40"/>
      </w:pPr>
      <w:r>
        <w:rPr>
          <w:rFonts w:ascii="Georgia" w:hAnsi="Georgia"/>
          <w:b/>
          <w:color w:val="1A5CA0"/>
          <w:sz w:val="26"/>
        </w:rPr>
        <w:t>Operating Principles</w:t>
      </w:r>
    </w:p>
    <w:p>
      <w:pPr>
        <w:spacing w:line="240" w:lineRule="auto" w:after="60"/>
      </w:pPr>
      <w:r>
        <w:rPr>
          <w:rFonts w:ascii="Aptos" w:hAnsi="Aptos"/>
          <w:i w:val="0"/>
          <w:color w:val="0F1A2E"/>
          <w:sz w:val="20"/>
        </w:rPr>
        <w:t>The charter assumes that documentation is not a compliance exercise. It is the mechanism by which the organization preserves context, accelerates onboarding, and supports leadership decisions with evidence.</w:t>
      </w:r>
    </w:p>
    <w:sectPr w:rsidR="00FC693F" w:rsidRPr="0006063C" w:rsidSect="00034616">
      <w:footerReference w:type="default" r:id="rId9"/>
      <w:pgSz w:w="12240" w:h="15840"/>
      <w:pgMar w:top="792"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680"/>
        <w:sz w:val="16"/>
      </w:rPr>
      <w:t>EIDS Prototype Pack — Synthetic Demo Artifact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A5CA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1A2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0F1A2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A668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