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Georgia" w:hAnsi="Georgia"/>
          <w:b/>
          <w:color w:val="0F1A2E"/>
          <w:sz w:val="40"/>
        </w:rPr>
        <w:t>Dental System Architecture Overview</w:t>
      </w:r>
    </w:p>
    <w:p>
      <w:pPr>
        <w:pStyle w:val="Subtitle"/>
        <w:spacing w:after="80"/>
      </w:pPr>
      <w:r>
        <w:rPr>
          <w:rFonts w:ascii="Aptos" w:hAnsi="Aptos"/>
          <w:i/>
          <w:color w:val="5A6680"/>
          <w:sz w:val="20"/>
        </w:rPr>
        <w:t>Technical Context for PI 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A5CA0"/>
          </w:tcPr>
          <w:p>
            <w:pPr>
              <w:spacing w:after="0"/>
            </w:pPr>
            <w:r/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DATE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2026-03-25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AUTHOR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Ruben Alvarez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PRODUCT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Dental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TYPE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Architecture Doc</w:t>
            </w:r>
          </w:p>
        </w:tc>
      </w:tr>
    </w:tbl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Architecture Summary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Dental integrates legacy referral data, business rules, and stakeholder reporting into a modernized FHIR-oriented path. The architectural concern in this demo is not deep implementation detail; it is the relationship between endpoint mapping, environment readiness, and stakeholder confidence.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Core Components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Legacy referral source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Mapping and transformation layer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FHIR endpoint package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Security and identity controls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Reporting and stakeholder-facing artifacts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Key Interfaces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The most important interface in the current story is the vendor-owned sandbox. Without it, the program can still prepare mappings and evidence, but it cannot claim full path validation.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Dependency Model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Technical progress is possible without the vendor environment, but proof of readiness is not. That distinction is central to the product's changing status across the demo waves.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Risks and Constraints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Open field-mapping questions, delayed named-user credentials, security review timing, and the quality of migration samples are the primary constraints.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Readiness Criteria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A credible stakeholder demo requires: finalized endpoint mapping, current security posture, validated integration path, and a narrative that does not overstate what has been proven.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Design Implication for the Knowledge Hub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Architecture artifacts like this document should be retrievable alongside weekly updates, transcripts, and risk logs so the application can answer both business and technical questions in one place.</w:t>
      </w:r>
    </w:p>
    <w:sectPr w:rsidR="00FC693F" w:rsidRPr="0006063C" w:rsidSect="00034616">
      <w:footerReference w:type="default" r:id="rId9"/>
      <w:pgSz w:w="12240" w:h="15840"/>
      <w:pgMar w:top="792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80"/>
        <w:sz w:val="16"/>
      </w:rPr>
      <w:t>EIDS Prototype Pack — Synthetic Demo Artifact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5CA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A2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F1A2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668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