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Georgia" w:hAnsi="Georgia"/>
          <w:b/>
          <w:color w:val="0F1A2E"/>
          <w:sz w:val="40"/>
        </w:rPr>
        <w:t>ESSENCE Transition Handoff Memo</w:t>
      </w:r>
    </w:p>
    <w:p>
      <w:pPr>
        <w:pStyle w:val="Subtitle"/>
        <w:spacing w:after="80"/>
      </w:pPr>
      <w:r>
        <w:rPr>
          <w:rFonts w:ascii="Aptos" w:hAnsi="Aptos"/>
          <w:i/>
          <w:color w:val="5A6680"/>
          <w:sz w:val="20"/>
        </w:rPr>
        <w:t>Partial Handoff — Incomplete Record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1A5CA0"/>
          </w:tcPr>
          <w:p>
            <w:pPr>
              <w:spacing w:after="0"/>
            </w:pPr>
            <w:r/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5A6680"/>
                <w:sz w:val="15"/>
              </w:rPr>
              <w:t>DATE</w:t>
              <w:br/>
            </w:r>
            <w:r>
              <w:rPr>
                <w:rFonts w:ascii="Aptos" w:hAnsi="Aptos"/>
                <w:b w:val="0"/>
                <w:color w:val="0F1A2E"/>
                <w:sz w:val="18"/>
              </w:rPr>
              <w:t>2026-03-23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5A6680"/>
                <w:sz w:val="15"/>
              </w:rPr>
              <w:t>AUTHOR</w:t>
              <w:br/>
            </w:r>
            <w:r>
              <w:rPr>
                <w:rFonts w:ascii="Aptos" w:hAnsi="Aptos"/>
                <w:b w:val="0"/>
                <w:color w:val="0F1A2E"/>
                <w:sz w:val="18"/>
              </w:rPr>
              <w:t>Previous Contractor Team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5A6680"/>
                <w:sz w:val="15"/>
              </w:rPr>
              <w:t>PRODUCT</w:t>
              <w:br/>
            </w:r>
            <w:r>
              <w:rPr>
                <w:rFonts w:ascii="Aptos" w:hAnsi="Aptos"/>
                <w:b w:val="0"/>
                <w:color w:val="0F1A2E"/>
                <w:sz w:val="18"/>
              </w:rPr>
              <w:t>ESSENCE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5A6680"/>
                <w:sz w:val="15"/>
              </w:rPr>
              <w:t>TYPE</w:t>
              <w:br/>
            </w:r>
            <w:r>
              <w:rPr>
                <w:rFonts w:ascii="Aptos" w:hAnsi="Aptos"/>
                <w:b w:val="0"/>
                <w:color w:val="0F1A2E"/>
                <w:sz w:val="18"/>
              </w:rPr>
              <w:t>Handoff Memo</w:t>
            </w:r>
          </w:p>
        </w:tc>
      </w:tr>
    </w:tbl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Context</w:t>
      </w:r>
    </w:p>
    <w:p>
      <w:pPr>
        <w:spacing w:line="240" w:lineRule="auto" w:after="60"/>
      </w:pPr>
      <w:r>
        <w:rPr>
          <w:rFonts w:ascii="Aptos" w:hAnsi="Aptos"/>
          <w:i w:val="0"/>
          <w:color w:val="0F1A2E"/>
          <w:sz w:val="20"/>
        </w:rPr>
        <w:t>This memo captures the partial handoff delivered during contractor transition. It is intentionally incomplete and should result in lower confidence if used as the sole narrative source.</w:t>
      </w:r>
    </w:p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Known Open Topics</w:t>
      </w:r>
    </w:p>
    <w:p>
      <w:pPr>
        <w:spacing w:after="40"/>
        <w:ind w:left="259" w:hanging="173"/>
      </w:pPr>
      <w:r>
        <w:rPr>
          <w:rFonts w:ascii="Aptos" w:hAnsi="Aptos"/>
          <w:b/>
          <w:color w:val="1A5CA0"/>
          <w:sz w:val="20"/>
        </w:rPr>
        <w:t xml:space="preserve">• </w:t>
      </w:r>
      <w:r>
        <w:rPr>
          <w:rFonts w:ascii="Aptos" w:hAnsi="Aptos"/>
          <w:color w:val="0F1A2E"/>
          <w:sz w:val="20"/>
        </w:rPr>
        <w:t>Target operating model may not reflect the most recent leadership discussion.</w:t>
      </w:r>
    </w:p>
    <w:p>
      <w:pPr>
        <w:spacing w:after="40"/>
        <w:ind w:left="259" w:hanging="173"/>
      </w:pPr>
      <w:r>
        <w:rPr>
          <w:rFonts w:ascii="Aptos" w:hAnsi="Aptos"/>
          <w:b/>
          <w:color w:val="1A5CA0"/>
          <w:sz w:val="20"/>
        </w:rPr>
        <w:t xml:space="preserve">• </w:t>
      </w:r>
      <w:r>
        <w:rPr>
          <w:rFonts w:ascii="Aptos" w:hAnsi="Aptos"/>
          <w:color w:val="0F1A2E"/>
          <w:sz w:val="20"/>
        </w:rPr>
        <w:t>Stakeholder distribution list may be out of date.</w:t>
      </w:r>
    </w:p>
    <w:p>
      <w:pPr>
        <w:spacing w:after="40"/>
        <w:ind w:left="259" w:hanging="173"/>
      </w:pPr>
      <w:r>
        <w:rPr>
          <w:rFonts w:ascii="Aptos" w:hAnsi="Aptos"/>
          <w:b/>
          <w:color w:val="1A5CA0"/>
          <w:sz w:val="20"/>
        </w:rPr>
        <w:t xml:space="preserve">• </w:t>
      </w:r>
      <w:r>
        <w:rPr>
          <w:rFonts w:ascii="Aptos" w:hAnsi="Aptos"/>
          <w:color w:val="0F1A2E"/>
          <w:sz w:val="20"/>
        </w:rPr>
        <w:t>One or more design decks referenced in meetings were not included in the turnover package.</w:t>
      </w:r>
    </w:p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Artifacts Located</w:t>
      </w:r>
    </w:p>
    <w:p>
      <w:pPr>
        <w:spacing w:line="240" w:lineRule="auto" w:after="60"/>
      </w:pPr>
      <w:r>
        <w:rPr>
          <w:rFonts w:ascii="Aptos" w:hAnsi="Aptos"/>
          <w:i w:val="0"/>
          <w:color w:val="0F1A2E"/>
          <w:sz w:val="20"/>
        </w:rPr>
        <w:t>A stale weekly update, a small set of email fragments, and a partial RAID log export were recovered. No complete decision log was found.</w:t>
      </w:r>
    </w:p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Artifacts Missing</w:t>
      </w:r>
    </w:p>
    <w:p>
      <w:pPr>
        <w:spacing w:line="240" w:lineRule="auto" w:after="60"/>
      </w:pPr>
      <w:r>
        <w:rPr>
          <w:rFonts w:ascii="Aptos" w:hAnsi="Aptos"/>
          <w:i w:val="0"/>
          <w:color w:val="0F1A2E"/>
          <w:sz w:val="20"/>
        </w:rPr>
        <w:t>Several referenced meeting transcripts, the current design deck, and final owner assignments for open design questions.</w:t>
      </w:r>
    </w:p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Operational Risk</w:t>
      </w:r>
    </w:p>
    <w:p>
      <w:pPr>
        <w:spacing w:line="240" w:lineRule="auto" w:after="60"/>
      </w:pPr>
      <w:r>
        <w:rPr>
          <w:rFonts w:ascii="Aptos" w:hAnsi="Aptos"/>
          <w:i w:val="0"/>
          <w:color w:val="0F1A2E"/>
          <w:sz w:val="20"/>
        </w:rPr>
        <w:t>Because the record is incomplete, the team should assume that some prior decisions may be reopened inadvertently. This creates reporting risk, onboarding risk, and stakeholder trust risk.</w:t>
      </w:r>
    </w:p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Recommended First Actions</w:t>
      </w:r>
    </w:p>
    <w:p>
      <w:pPr>
        <w:spacing w:line="240" w:lineRule="auto" w:after="60"/>
      </w:pPr>
      <w:r>
        <w:rPr>
          <w:rFonts w:ascii="Aptos" w:hAnsi="Aptos"/>
          <w:i w:val="0"/>
          <w:color w:val="0F1A2E"/>
          <w:sz w:val="20"/>
        </w:rPr>
        <w:t>Build an interim stakeholder list from surviving communications, hold a reconstruction working session, and explicitly mark low-confidence answers as incomplete until the evidence base improves.</w:t>
      </w:r>
    </w:p>
    <w:sectPr w:rsidR="00FC693F" w:rsidRPr="0006063C" w:rsidSect="00034616">
      <w:footerReference w:type="default" r:id="rId9"/>
      <w:pgSz w:w="12240" w:h="15840"/>
      <w:pgMar w:top="792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680"/>
        <w:sz w:val="16"/>
      </w:rPr>
      <w:t>EIDS Prototype Pack — Synthetic Demo Artifact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A5CA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1A2E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F1A2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A668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