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Georgia" w:hAnsi="Georgia"/>
          <w:b/>
          <w:color w:val="0F1A2E"/>
          <w:sz w:val="40"/>
        </w:rPr>
        <w:t>Decision Memo — FHIR Priority Over Feature Work</w:t>
      </w:r>
    </w:p>
    <w:p>
      <w:pPr>
        <w:pStyle w:val="Subtitle"/>
        <w:spacing w:after="80"/>
      </w:pPr>
      <w:r>
        <w:rPr>
          <w:rFonts w:ascii="Aptos" w:hAnsi="Aptos"/>
          <w:i/>
          <w:color w:val="5A6680"/>
          <w:sz w:val="20"/>
        </w:rPr>
        <w:t>Issued after Sprint 2 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A5CA0"/>
          </w:tcPr>
          <w:p>
            <w:pPr>
              <w:spacing w:after="0"/>
            </w:pPr>
            <w:r/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DATE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2026-04-09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AUTHOR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Benjiman Jennings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PRODUCT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Dental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TYPE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Decision Memo</w:t>
            </w:r>
          </w:p>
        </w:tc>
      </w:tr>
    </w:tbl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Decision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Effective immediately, FHIR migration work becomes the primary priority for Dental / DenClass. New feature work not required to reduce critical-path risk is deferred.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Why the Decision Was Made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The vendor sandbox delay changed the program posture from manageable caution to a meaningful delivery risk. Continuing to represent all workstreams as equally important would hide the true pacing item.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Scope Impact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Three non-critical stories move to Sprint 3. Integration test harness work becomes an explicit planned item rather than implicit support work.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Reporting Impact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Future weekly summaries, risk logs, and generated reports must say that the product is at risk because the environment dependency now governs credible readiness.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Owner Actions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Lowry Beckett obtains a revised vendor timeline. Jaden Cole refreshes the weekly narrative and ADO board. Product line leads use the revised status in leadership briefings.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Review Date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This decision remains in force until leadership revisits the vendor dependency posture on or after April 15, 2026.</w:t>
      </w:r>
    </w:p>
    <w:sectPr w:rsidR="00FC693F" w:rsidRPr="0006063C" w:rsidSect="00034616">
      <w:footerReference w:type="default" r:id="rId9"/>
      <w:pgSz w:w="12240" w:h="15840"/>
      <w:pgMar w:top="792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80"/>
        <w:sz w:val="16"/>
      </w:rPr>
      <w:t>EIDS Prototype Pack — Synthetic Demo Artifact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5CA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A2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F1A2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668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