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rPr>
          <w:rFonts w:ascii="Georgia" w:hAnsi="Georgia"/>
          <w:b/>
          <w:color w:val="0F1A2E"/>
          <w:sz w:val="40"/>
        </w:rPr>
        <w:t>Dental Sprint 2 Review</w:t>
      </w:r>
    </w:p>
    <w:p>
      <w:pPr>
        <w:pStyle w:val="Subtitle"/>
        <w:spacing w:after="80"/>
      </w:pPr>
      <w:r>
        <w:rPr>
          <w:rFonts w:ascii="Aptos" w:hAnsi="Aptos"/>
          <w:i/>
          <w:color w:val="5A6680"/>
          <w:sz w:val="20"/>
        </w:rPr>
        <w:t>April 9, 2026, 3:00 PM ET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1A5CA0"/>
          </w:tcPr>
          <w:p>
            <w:pPr>
              <w:spacing w:after="0"/>
            </w:pPr>
            <w:r/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088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5A6680"/>
                <w:sz w:val="15"/>
              </w:rPr>
              <w:t>DATE</w:t>
              <w:br/>
            </w:r>
            <w:r>
              <w:rPr>
                <w:rFonts w:ascii="Aptos" w:hAnsi="Aptos"/>
                <w:b w:val="0"/>
                <w:color w:val="0F1A2E"/>
                <w:sz w:val="18"/>
              </w:rPr>
              <w:t>2026-04-09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5A6680"/>
                <w:sz w:val="15"/>
              </w:rPr>
              <w:t>AUTHOR</w:t>
              <w:br/>
            </w:r>
            <w:r>
              <w:rPr>
                <w:rFonts w:ascii="Aptos" w:hAnsi="Aptos"/>
                <w:b w:val="0"/>
                <w:color w:val="0F1A2E"/>
                <w:sz w:val="18"/>
              </w:rPr>
              <w:t>Teams Auto Transcript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5A6680"/>
                <w:sz w:val="15"/>
              </w:rPr>
              <w:t>PRODUCT</w:t>
              <w:br/>
            </w:r>
            <w:r>
              <w:rPr>
                <w:rFonts w:ascii="Aptos" w:hAnsi="Aptos"/>
                <w:b w:val="0"/>
                <w:color w:val="0F1A2E"/>
                <w:sz w:val="18"/>
              </w:rPr>
              <w:t>Dental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5A6680"/>
                <w:sz w:val="15"/>
              </w:rPr>
              <w:t>TYPE</w:t>
              <w:br/>
            </w:r>
            <w:r>
              <w:rPr>
                <w:rFonts w:ascii="Aptos" w:hAnsi="Aptos"/>
                <w:b w:val="0"/>
                <w:color w:val="0F1A2E"/>
                <w:sz w:val="18"/>
              </w:rPr>
              <w:t>Transcript</w:t>
            </w:r>
          </w:p>
        </w:tc>
      </w:tr>
    </w:tbl>
    <w:p>
      <w:pPr>
        <w:spacing w:after="40"/>
      </w:pPr>
      <w:r>
        <w:rPr>
          <w:rFonts w:ascii="Aptos" w:hAnsi="Aptos"/>
          <w:b/>
          <w:color w:val="0F1A2E"/>
          <w:sz w:val="20"/>
        </w:rPr>
        <w:t xml:space="preserve">Attendees: </w:t>
      </w:r>
      <w:r>
        <w:rPr>
          <w:rFonts w:ascii="Aptos" w:hAnsi="Aptos"/>
          <w:color w:val="0F1A2E"/>
          <w:sz w:val="20"/>
        </w:rPr>
        <w:t>Jaden Cole, Dr. Minji Sohl, Benjiman Jennings, Robin Holt, Chris Alvarez, Dev Team B Lead</w:t>
      </w:r>
    </w:p>
    <w:p>
      <w:pPr>
        <w:pStyle w:val="Heading1"/>
        <w:spacing w:before="40" w:after="40"/>
      </w:pPr>
      <w:r>
        <w:rPr>
          <w:rFonts w:ascii="Georgia" w:hAnsi="Georgia"/>
          <w:b/>
          <w:color w:val="1A5CA0"/>
          <w:sz w:val="26"/>
        </w:rPr>
        <w:t>Meeting Summary</w:t>
      </w:r>
    </w:p>
    <w:p>
      <w:pPr>
        <w:spacing w:line="240" w:lineRule="auto" w:after="60"/>
      </w:pPr>
      <w:r>
        <w:rPr>
          <w:rFonts w:ascii="Aptos" w:hAnsi="Aptos"/>
          <w:i w:val="0"/>
          <w:color w:val="0F1A2E"/>
          <w:sz w:val="20"/>
        </w:rPr>
        <w:t>Sprint 2 review shifted the program posture materially. The vendor delay became explicit, leadership directed the team to prioritize FHIR over feature work, and Dr. Sohl raised concern about insufficient integration-test readiness.</w:t>
      </w:r>
    </w:p>
    <w:p>
      <w:pPr>
        <w:pStyle w:val="Heading1"/>
        <w:spacing w:before="40" w:after="40"/>
      </w:pPr>
      <w:r>
        <w:rPr>
          <w:rFonts w:ascii="Georgia" w:hAnsi="Georgia"/>
          <w:b/>
          <w:color w:val="1A5CA0"/>
          <w:sz w:val="26"/>
        </w:rPr>
        <w:t>Decisions Captured</w:t>
      </w:r>
    </w:p>
    <w:p>
      <w:pPr>
        <w:spacing w:after="40"/>
        <w:ind w:left="259" w:hanging="173"/>
      </w:pPr>
      <w:r>
        <w:rPr>
          <w:rFonts w:ascii="Aptos" w:hAnsi="Aptos"/>
          <w:b/>
          <w:color w:val="1A5CA0"/>
          <w:sz w:val="20"/>
        </w:rPr>
        <w:t xml:space="preserve">• </w:t>
      </w:r>
      <w:r>
        <w:rPr>
          <w:rFonts w:ascii="Aptos" w:hAnsi="Aptos"/>
          <w:color w:val="0F1A2E"/>
          <w:sz w:val="20"/>
        </w:rPr>
        <w:t>FHIR migration work will take priority over all new feature work until the dependency risk is reduced.</w:t>
      </w:r>
    </w:p>
    <w:p>
      <w:pPr>
        <w:spacing w:after="40"/>
        <w:ind w:left="259" w:hanging="173"/>
      </w:pPr>
      <w:r>
        <w:rPr>
          <w:rFonts w:ascii="Aptos" w:hAnsi="Aptos"/>
          <w:b/>
          <w:color w:val="1A5CA0"/>
          <w:sz w:val="20"/>
        </w:rPr>
        <w:t xml:space="preserve">• </w:t>
      </w:r>
      <w:r>
        <w:rPr>
          <w:rFonts w:ascii="Aptos" w:hAnsi="Aptos"/>
          <w:color w:val="0F1A2E"/>
          <w:sz w:val="20"/>
        </w:rPr>
        <w:t>Three feature stories will be deferred to Sprint 3 so engineering effort can stay aligned to the critical path.</w:t>
      </w:r>
    </w:p>
    <w:p>
      <w:pPr>
        <w:spacing w:after="40"/>
        <w:ind w:left="259" w:hanging="173"/>
      </w:pPr>
      <w:r>
        <w:rPr>
          <w:rFonts w:ascii="Aptos" w:hAnsi="Aptos"/>
          <w:b/>
          <w:color w:val="1A5CA0"/>
          <w:sz w:val="20"/>
        </w:rPr>
        <w:t xml:space="preserve">• </w:t>
      </w:r>
      <w:r>
        <w:rPr>
          <w:rFonts w:ascii="Aptos" w:hAnsi="Aptos"/>
          <w:color w:val="0F1A2E"/>
          <w:sz w:val="20"/>
        </w:rPr>
        <w:t>Integration test harness work must be planned explicitly for Sprint 3 rather than assumed as hidden labor.</w:t>
      </w:r>
    </w:p>
    <w:p>
      <w:pPr>
        <w:pStyle w:val="Heading1"/>
        <w:spacing w:before="40" w:after="40"/>
      </w:pPr>
      <w:r>
        <w:rPr>
          <w:rFonts w:ascii="Georgia" w:hAnsi="Georgia"/>
          <w:b/>
          <w:color w:val="1A5CA0"/>
          <w:sz w:val="26"/>
        </w:rPr>
        <w:t>Action Items</w:t>
      </w:r>
    </w:p>
    <w:p>
      <w:pPr>
        <w:spacing w:after="40"/>
        <w:ind w:left="259" w:hanging="173"/>
      </w:pPr>
      <w:r>
        <w:rPr>
          <w:rFonts w:ascii="Aptos" w:hAnsi="Aptos"/>
          <w:b/>
          <w:color w:val="1A5CA0"/>
          <w:sz w:val="20"/>
        </w:rPr>
        <w:t xml:space="preserve">• </w:t>
      </w:r>
      <w:r>
        <w:rPr>
          <w:rFonts w:ascii="Aptos" w:hAnsi="Aptos"/>
          <w:color w:val="0F1A2E"/>
          <w:sz w:val="20"/>
        </w:rPr>
        <w:t>Lowry to obtain revised vendor timeline by 4/15.</w:t>
      </w:r>
    </w:p>
    <w:p>
      <w:pPr>
        <w:spacing w:after="40"/>
        <w:ind w:left="259" w:hanging="173"/>
      </w:pPr>
      <w:r>
        <w:rPr>
          <w:rFonts w:ascii="Aptos" w:hAnsi="Aptos"/>
          <w:b/>
          <w:color w:val="1A5CA0"/>
          <w:sz w:val="20"/>
        </w:rPr>
        <w:t xml:space="preserve">• </w:t>
      </w:r>
      <w:r>
        <w:rPr>
          <w:rFonts w:ascii="Aptos" w:hAnsi="Aptos"/>
          <w:color w:val="0F1A2E"/>
          <w:sz w:val="20"/>
        </w:rPr>
        <w:t>Jaden to publish a decision memo and refresh the weekly update.</w:t>
      </w:r>
    </w:p>
    <w:p>
      <w:pPr>
        <w:spacing w:after="40"/>
        <w:ind w:left="259" w:hanging="173"/>
      </w:pPr>
      <w:r>
        <w:rPr>
          <w:rFonts w:ascii="Aptos" w:hAnsi="Aptos"/>
          <w:b/>
          <w:color w:val="1A5CA0"/>
          <w:sz w:val="20"/>
        </w:rPr>
        <w:t xml:space="preserve">• </w:t>
      </w:r>
      <w:r>
        <w:rPr>
          <w:rFonts w:ascii="Aptos" w:hAnsi="Aptos"/>
          <w:color w:val="0F1A2E"/>
          <w:sz w:val="20"/>
        </w:rPr>
        <w:t>Dev Team B to scope the integration test harness as discrete work.</w:t>
      </w:r>
    </w:p>
    <w:p>
      <w:pPr>
        <w:pStyle w:val="Heading1"/>
        <w:spacing w:before="40" w:after="40"/>
      </w:pPr>
      <w:r>
        <w:rPr>
          <w:rFonts w:ascii="Georgia" w:hAnsi="Georgia"/>
          <w:b/>
          <w:color w:val="1A5CA0"/>
          <w:sz w:val="26"/>
        </w:rPr>
        <w:t>Key Discussion Excerpts</w:t>
      </w:r>
    </w:p>
    <w:p>
      <w:pPr>
        <w:spacing w:after="60"/>
      </w:pPr>
      <w:r>
        <w:rPr>
          <w:rFonts w:ascii="Aptos" w:hAnsi="Aptos"/>
          <w:b/>
          <w:color w:val="0F1A2E"/>
          <w:sz w:val="20"/>
        </w:rPr>
        <w:t xml:space="preserve">Benjiman Jennings: </w:t>
      </w:r>
      <w:r>
        <w:rPr>
          <w:rFonts w:ascii="Aptos" w:hAnsi="Aptos"/>
          <w:color w:val="0F1A2E"/>
          <w:sz w:val="20"/>
        </w:rPr>
        <w:t>I want to be very direct here: if the environment is slipping, then everything that depends on it becomes the critical path whether we like it or not.</w:t>
      </w:r>
    </w:p>
    <w:p>
      <w:pPr>
        <w:spacing w:after="60"/>
      </w:pPr>
      <w:r>
        <w:rPr>
          <w:rFonts w:ascii="Aptos" w:hAnsi="Aptos"/>
          <w:b/>
          <w:color w:val="0F1A2E"/>
          <w:sz w:val="20"/>
        </w:rPr>
        <w:t xml:space="preserve">Jaden Cole: </w:t>
      </w:r>
      <w:r>
        <w:rPr>
          <w:rFonts w:ascii="Aptos" w:hAnsi="Aptos"/>
          <w:color w:val="0F1A2E"/>
          <w:sz w:val="20"/>
        </w:rPr>
        <w:t>Understood. The team can keep moving on mapping and documentation, but the story we tell leadership needs to reflect the vendor reality.</w:t>
      </w:r>
    </w:p>
    <w:p>
      <w:pPr>
        <w:spacing w:after="60"/>
      </w:pPr>
      <w:r>
        <w:rPr>
          <w:rFonts w:ascii="Aptos" w:hAnsi="Aptos"/>
          <w:b/>
          <w:color w:val="0F1A2E"/>
          <w:sz w:val="20"/>
        </w:rPr>
        <w:t xml:space="preserve">Dr. Minji Sohl: </w:t>
      </w:r>
      <w:r>
        <w:rPr>
          <w:rFonts w:ascii="Aptos" w:hAnsi="Aptos"/>
          <w:color w:val="0F1A2E"/>
          <w:sz w:val="20"/>
        </w:rPr>
        <w:t>My concern isn't just the date. It's whether we have enough evidence that the path we will demonstrate has actually been tested end to end.</w:t>
      </w:r>
    </w:p>
    <w:p>
      <w:pPr>
        <w:spacing w:after="60"/>
      </w:pPr>
      <w:r>
        <w:rPr>
          <w:rFonts w:ascii="Aptos" w:hAnsi="Aptos"/>
          <w:b/>
          <w:color w:val="0F1A2E"/>
          <w:sz w:val="20"/>
        </w:rPr>
        <w:t xml:space="preserve">Dev Team B Lead: </w:t>
      </w:r>
      <w:r>
        <w:rPr>
          <w:rFonts w:ascii="Aptos" w:hAnsi="Aptos"/>
          <w:color w:val="0F1A2E"/>
          <w:sz w:val="20"/>
        </w:rPr>
        <w:t>We don't yet. We have partial unit validation, but not enough integrated coverage to say we're demo-ready in the vendor environment.</w:t>
      </w:r>
    </w:p>
    <w:p>
      <w:pPr>
        <w:spacing w:after="60"/>
      </w:pPr>
      <w:r>
        <w:rPr>
          <w:rFonts w:ascii="Aptos" w:hAnsi="Aptos"/>
          <w:b/>
          <w:color w:val="0F1A2E"/>
          <w:sz w:val="20"/>
        </w:rPr>
        <w:t xml:space="preserve">Robin Holt: </w:t>
      </w:r>
      <w:r>
        <w:rPr>
          <w:rFonts w:ascii="Aptos" w:hAnsi="Aptos"/>
          <w:color w:val="0F1A2E"/>
          <w:sz w:val="20"/>
        </w:rPr>
        <w:t>Then the status needs to move. We can't keep the product looking healthy if the proof isn't there.</w:t>
      </w:r>
    </w:p>
    <w:p>
      <w:pPr>
        <w:spacing w:after="60"/>
      </w:pPr>
      <w:r>
        <w:rPr>
          <w:rFonts w:ascii="Aptos" w:hAnsi="Aptos"/>
          <w:b/>
          <w:color w:val="0F1A2E"/>
          <w:sz w:val="20"/>
        </w:rPr>
        <w:t xml:space="preserve">Benjiman Jennings: </w:t>
      </w:r>
      <w:r>
        <w:rPr>
          <w:rFonts w:ascii="Aptos" w:hAnsi="Aptos"/>
          <w:color w:val="0F1A2E"/>
          <w:sz w:val="20"/>
        </w:rPr>
        <w:t>Agreed. Decision one: FHIR work gets priority over new features. Decision two: any work not on the critical path moves out. Decision three: testing is a first-class deliverable, not implied work.</w:t>
      </w:r>
    </w:p>
    <w:p>
      <w:pPr>
        <w:spacing w:after="60"/>
      </w:pPr>
      <w:r>
        <w:rPr>
          <w:rFonts w:ascii="Aptos" w:hAnsi="Aptos"/>
          <w:b/>
          <w:color w:val="0F1A2E"/>
          <w:sz w:val="20"/>
        </w:rPr>
        <w:t xml:space="preserve">Chris Alvarez: </w:t>
      </w:r>
      <w:r>
        <w:rPr>
          <w:rFonts w:ascii="Aptos" w:hAnsi="Aptos"/>
          <w:color w:val="0F1A2E"/>
          <w:sz w:val="20"/>
        </w:rPr>
        <w:t>That gives us a clean narrative. It may not be the happiest story, but it's truthful and it tells people exactly what changed.</w:t>
      </w:r>
    </w:p>
    <w:p>
      <w:pPr>
        <w:spacing w:after="60"/>
      </w:pPr>
      <w:r>
        <w:rPr>
          <w:rFonts w:ascii="Aptos" w:hAnsi="Aptos"/>
          <w:b/>
          <w:color w:val="0F1A2E"/>
          <w:sz w:val="20"/>
        </w:rPr>
        <w:t xml:space="preserve">Jaden Cole: </w:t>
      </w:r>
      <w:r>
        <w:rPr>
          <w:rFonts w:ascii="Aptos" w:hAnsi="Aptos"/>
          <w:color w:val="0F1A2E"/>
          <w:sz w:val="20"/>
        </w:rPr>
        <w:t>I'll write the decision memo tonight and update the weekly tomorrow morning. We'll also realign the ADO board so the delivery picture matches the words.</w:t>
      </w:r>
    </w:p>
    <w:p>
      <w:pPr>
        <w:spacing w:after="60"/>
      </w:pPr>
      <w:r>
        <w:rPr>
          <w:rFonts w:ascii="Aptos" w:hAnsi="Aptos"/>
          <w:b/>
          <w:color w:val="0F1A2E"/>
          <w:sz w:val="20"/>
        </w:rPr>
        <w:t xml:space="preserve">Dr. Minji Sohl: </w:t>
      </w:r>
      <w:r>
        <w:rPr>
          <w:rFonts w:ascii="Aptos" w:hAnsi="Aptos"/>
          <w:color w:val="0F1A2E"/>
          <w:sz w:val="20"/>
        </w:rPr>
        <w:t>If you send the revised test schedule, I'll approve it. But I want the weekly to be explicit that approval of a schedule does not erase the environment risk.</w:t>
      </w:r>
    </w:p>
    <w:p>
      <w:pPr>
        <w:spacing w:after="60"/>
      </w:pPr>
      <w:r>
        <w:rPr>
          <w:rFonts w:ascii="Aptos" w:hAnsi="Aptos"/>
          <w:b/>
          <w:color w:val="0F1A2E"/>
          <w:sz w:val="20"/>
        </w:rPr>
        <w:t xml:space="preserve">Benjiman Jennings: </w:t>
      </w:r>
      <w:r>
        <w:rPr>
          <w:rFonts w:ascii="Aptos" w:hAnsi="Aptos"/>
          <w:color w:val="0F1A2E"/>
          <w:sz w:val="20"/>
        </w:rPr>
        <w:t>Good. And Lowry, I need a written vendor timeline by the fifteenth so we have a concrete decision point.</w:t>
      </w:r>
    </w:p>
    <w:p>
      <w:pPr>
        <w:pStyle w:val="Heading1"/>
        <w:spacing w:before="40" w:after="40"/>
      </w:pPr>
      <w:r>
        <w:rPr>
          <w:rFonts w:ascii="Georgia" w:hAnsi="Georgia"/>
          <w:b/>
          <w:color w:val="1A5CA0"/>
          <w:sz w:val="26"/>
        </w:rPr>
        <w:t>Analyst Note</w:t>
      </w:r>
    </w:p>
    <w:p>
      <w:pPr>
        <w:spacing w:line="240" w:lineRule="auto" w:after="60"/>
      </w:pPr>
      <w:r>
        <w:rPr>
          <w:rFonts w:ascii="Aptos" w:hAnsi="Aptos"/>
          <w:i w:val="0"/>
          <w:color w:val="0F1A2E"/>
          <w:sz w:val="20"/>
        </w:rPr>
        <w:t>This transcript should materially improve answer quality because it contains named decision makers, explicit tradeoffs, and dated action items that can be linked to later risk, blocker, and ADO changes.</w:t>
      </w:r>
    </w:p>
    <w:sectPr w:rsidR="00FC693F" w:rsidRPr="0006063C" w:rsidSect="00034616">
      <w:footerReference w:type="default" r:id="rId9"/>
      <w:pgSz w:w="12240" w:h="15840"/>
      <w:pgMar w:top="792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A6680"/>
        <w:sz w:val="16"/>
      </w:rPr>
      <w:t>EIDS Prototype Pack — Synthetic Demo Artifact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1A5CA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F1A2E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/>
      <w:b/>
      <w:color w:val="0F1A2E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5A668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