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Georgia" w:hAnsi="Georgia"/>
          <w:b/>
          <w:color w:val="0F1A2E"/>
          <w:sz w:val="40"/>
        </w:rPr>
        <w:t>Dental Leadership Sync</w:t>
      </w:r>
    </w:p>
    <w:p>
      <w:pPr>
        <w:pStyle w:val="Subtitle"/>
        <w:spacing w:after="80"/>
      </w:pPr>
      <w:r>
        <w:rPr>
          <w:rFonts w:ascii="Aptos" w:hAnsi="Aptos"/>
          <w:i/>
          <w:color w:val="5A6680"/>
          <w:sz w:val="20"/>
        </w:rPr>
        <w:t>April 12, 2026, 11:00 AM 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A5CA0"/>
          </w:tcPr>
          <w:p>
            <w:pPr>
              <w:spacing w:after="0"/>
            </w:pPr>
            <w:r/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DATE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2026-04-12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AUTHOR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Teams Auto Transcript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PRODUCT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Dental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TYPE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Transcript</w:t>
            </w:r>
          </w:p>
        </w:tc>
      </w:tr>
    </w:tbl>
    <w:p>
      <w:pPr>
        <w:spacing w:after="40"/>
      </w:pPr>
      <w:r>
        <w:rPr>
          <w:rFonts w:ascii="Aptos" w:hAnsi="Aptos"/>
          <w:b/>
          <w:color w:val="0F1A2E"/>
          <w:sz w:val="20"/>
        </w:rPr>
        <w:t xml:space="preserve">Attendees: </w:t>
      </w:r>
      <w:r>
        <w:rPr>
          <w:rFonts w:ascii="Aptos" w:hAnsi="Aptos"/>
          <w:color w:val="0F1A2E"/>
          <w:sz w:val="20"/>
        </w:rPr>
        <w:t>Benjiman Jennings, Jaden Cole, Robin Holt, Chris Alvarez, Lowry Beckett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Meeting Summary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Leadership sync focused on mitigation planning, contract and acquisition friction, and how to keep the Dental story coherent for stakeholders while the vendor path remains unstable.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Decisions Captured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The team will pursue a staged mitigation path rather than wait passively for the vendor to recover.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A mock-service option will be prepared in parallel so the stakeholder demo remains viable.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Jaden will produce a revised release plan that distinguishes critical-path work from deferred feature work.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Action Items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Benjiman to get clarity on contract path by 4/15.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Jaden to send a cost-impact response to Juan Rivera.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Lowry to document the exact minimum environment capability needed for the demo.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Key Discussion Excerpts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Benjiman Jennings: </w:t>
      </w:r>
      <w:r>
        <w:rPr>
          <w:rFonts w:ascii="Aptos" w:hAnsi="Aptos"/>
          <w:color w:val="0F1A2E"/>
          <w:sz w:val="20"/>
        </w:rPr>
        <w:t>We are out of room for vague statements. I need a mitigation path that is executable even if the vendor misses again.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Lowry Beckett: </w:t>
      </w:r>
      <w:r>
        <w:rPr>
          <w:rFonts w:ascii="Aptos" w:hAnsi="Aptos"/>
          <w:color w:val="0F1A2E"/>
          <w:sz w:val="20"/>
        </w:rPr>
        <w:t>The minimum viable path is partial sandbox plus named-user access. If we get that, we can keep moving. If we don't, the mock-service route is our safety net.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Jaden Cole: </w:t>
      </w:r>
      <w:r>
        <w:rPr>
          <w:rFonts w:ascii="Aptos" w:hAnsi="Aptos"/>
          <w:color w:val="0F1A2E"/>
          <w:sz w:val="20"/>
        </w:rPr>
        <w:t>Then the release plan needs to show two lanes: primary vendor path and mitigation path. Otherwise the weekly will read like we're hoping instead of planning.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Robin Holt: </w:t>
      </w:r>
      <w:r>
        <w:rPr>
          <w:rFonts w:ascii="Aptos" w:hAnsi="Aptos"/>
          <w:color w:val="0F1A2E"/>
          <w:sz w:val="20"/>
        </w:rPr>
        <w:t>Exactly. Leadership can live with a bad situation if the response is disciplined. What they can't live with is uncertainty that isn't named.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Chris Alvarez: </w:t>
      </w:r>
      <w:r>
        <w:rPr>
          <w:rFonts w:ascii="Aptos" w:hAnsi="Aptos"/>
          <w:color w:val="0F1A2E"/>
          <w:sz w:val="20"/>
        </w:rPr>
        <w:t>From the product-line perspective, I want the next report to tell me what got deferred, what stayed on the critical path, and what decision is needed next.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Benjiman Jennings: </w:t>
      </w:r>
      <w:r>
        <w:rPr>
          <w:rFonts w:ascii="Aptos" w:hAnsi="Aptos"/>
          <w:color w:val="0F1A2E"/>
          <w:sz w:val="20"/>
        </w:rPr>
        <w:t>Done. Decision one: we stage mitigation now. Decision two: mock services are not a maybe, they're a deliberate backup. Decision three: the release plan gets rewritten today.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Jaden Cole: </w:t>
      </w:r>
      <w:r>
        <w:rPr>
          <w:rFonts w:ascii="Aptos" w:hAnsi="Aptos"/>
          <w:color w:val="0F1A2E"/>
          <w:sz w:val="20"/>
        </w:rPr>
        <w:t>I'll send Juan a cost-impact estimate and publish the revised plan. That should also improve the Ask answers because the rationale will finally be explicit instead of implied.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Lowry Beckett: </w:t>
      </w:r>
      <w:r>
        <w:rPr>
          <w:rFonts w:ascii="Aptos" w:hAnsi="Aptos"/>
          <w:color w:val="0F1A2E"/>
          <w:sz w:val="20"/>
        </w:rPr>
        <w:t>I'll capture the minimum viable environment assumptions so nobody keeps using the phrase 'environment ready' without defining it.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Benjiman Jennings: </w:t>
      </w:r>
      <w:r>
        <w:rPr>
          <w:rFonts w:ascii="Aptos" w:hAnsi="Aptos"/>
          <w:color w:val="0F1A2E"/>
          <w:sz w:val="20"/>
        </w:rPr>
        <w:t>Good. And if the contract path isn't clear by the fifteenth, we'll elevate again with a very direct message that the blocker is no longer technical.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Analyst Note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This transcript should materially improve answer quality because it contains named decision makers, explicit tradeoffs, and dated action items that can be linked to later risk, blocker, and ADO changes.</w:t>
      </w:r>
    </w:p>
    <w:sectPr w:rsidR="00FC693F" w:rsidRPr="0006063C" w:rsidSect="00034616">
      <w:footerReference w:type="default" r:id="rId9"/>
      <w:pgSz w:w="12240" w:h="15840"/>
      <w:pgMar w:top="792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80"/>
        <w:sz w:val="16"/>
      </w:rPr>
      <w:t>EIDS Prototype Pack — Synthetic Demo Artifact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A5CA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A2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F1A2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668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