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rPr>
          <w:rFonts w:ascii="Georgia" w:hAnsi="Georgia"/>
          <w:b/>
          <w:color w:val="0F1A2E"/>
          <w:sz w:val="40"/>
        </w:rPr>
        <w:t>Dental Remediation Decision Memo</w:t>
      </w:r>
    </w:p>
    <w:p>
      <w:pPr>
        <w:pStyle w:val="Subtitle"/>
        <w:spacing w:after="80"/>
      </w:pPr>
      <w:r>
        <w:rPr>
          <w:rFonts w:ascii="Aptos" w:hAnsi="Aptos"/>
          <w:i/>
          <w:color w:val="5A6680"/>
          <w:sz w:val="20"/>
        </w:rPr>
        <w:t>Issued after Vendor Recovery Call</w:t>
      </w:r>
    </w:p>
    <w:tbl>
      <w:tblPr>
        <w:tblW w:type="auto" w:w="0"/>
        <w:jc w:val="left"/>
        <w:tblLayout w:type="fixed"/>
        <w:tblLook w:firstColumn="1" w:firstRow="1" w:lastColumn="0" w:lastRow="0" w:noHBand="0" w:noVBand="1" w:val="04A0"/>
      </w:tblPr>
      <w:tblGrid>
        <w:gridCol w:w="10080"/>
      </w:tblGrid>
      <w:tr>
        <w:tc>
          <w:tcPr>
            <w:tcW w:type="dxa" w:w="9792"/>
            <w:shd w:fill="1A5CA0"/>
          </w:tcPr>
          <w:p>
            <w:pPr>
              <w:spacing w:after="0"/>
            </w:pPr>
            <w:r/>
          </w:p>
        </w:tc>
      </w:tr>
    </w:tbl>
    <w:tbl>
      <w:tblPr>
        <w:tblW w:type="auto" w:w="0"/>
        <w:jc w:val="left"/>
        <w:tblLayout w:type="fixed"/>
        <w:tblLook w:firstColumn="1" w:firstRow="1" w:lastColumn="0" w:lastRow="0" w:noHBand="0" w:noVBand="1" w:val="04A0"/>
      </w:tblPr>
      <w:tblGrid>
        <w:gridCol w:w="2520"/>
        <w:gridCol w:w="2520"/>
        <w:gridCol w:w="2520"/>
        <w:gridCol w:w="2520"/>
      </w:tblGrid>
      <w:tr>
        <w:tc>
          <w:tcPr>
            <w:tcW w:type="dxa" w:w="2088"/>
            <w:vAlign w:val="center"/>
          </w:tcPr>
          <w:p>
            <w:pPr>
              <w:spacing w:after="0"/>
              <w:jc w:val="left"/>
            </w:pPr>
            <w:r>
              <w:rPr>
                <w:rFonts w:ascii="Aptos" w:hAnsi="Aptos"/>
                <w:b/>
                <w:color w:val="5A6680"/>
                <w:sz w:val="15"/>
              </w:rPr>
              <w:t>DATE</w:t>
              <w:br/>
            </w:r>
            <w:r>
              <w:rPr>
                <w:rFonts w:ascii="Aptos" w:hAnsi="Aptos"/>
                <w:b w:val="0"/>
                <w:color w:val="0F1A2E"/>
                <w:sz w:val="18"/>
              </w:rPr>
              <w:t>2026-04-16</w:t>
            </w:r>
          </w:p>
        </w:tc>
        <w:tc>
          <w:tcPr>
            <w:tcW w:type="dxa" w:w="1440"/>
            <w:vAlign w:val="center"/>
          </w:tcPr>
          <w:p>
            <w:pPr>
              <w:spacing w:after="0"/>
              <w:jc w:val="left"/>
            </w:pPr>
            <w:r>
              <w:rPr>
                <w:rFonts w:ascii="Aptos" w:hAnsi="Aptos"/>
                <w:b/>
                <w:color w:val="5A6680"/>
                <w:sz w:val="15"/>
              </w:rPr>
              <w:t>AUTHOR</w:t>
              <w:br/>
            </w:r>
            <w:r>
              <w:rPr>
                <w:rFonts w:ascii="Aptos" w:hAnsi="Aptos"/>
                <w:b w:val="0"/>
                <w:color w:val="0F1A2E"/>
                <w:sz w:val="18"/>
              </w:rPr>
              <w:t>Benjiman Jennings</w:t>
            </w:r>
          </w:p>
        </w:tc>
        <w:tc>
          <w:tcPr>
            <w:tcW w:type="dxa" w:w="1728"/>
            <w:vAlign w:val="center"/>
          </w:tcPr>
          <w:p>
            <w:pPr>
              <w:spacing w:after="0"/>
              <w:jc w:val="left"/>
            </w:pPr>
            <w:r>
              <w:rPr>
                <w:rFonts w:ascii="Aptos" w:hAnsi="Aptos"/>
                <w:b/>
                <w:color w:val="5A6680"/>
                <w:sz w:val="15"/>
              </w:rPr>
              <w:t>PRODUCT</w:t>
              <w:br/>
            </w:r>
            <w:r>
              <w:rPr>
                <w:rFonts w:ascii="Aptos" w:hAnsi="Aptos"/>
                <w:b w:val="0"/>
                <w:color w:val="0F1A2E"/>
                <w:sz w:val="18"/>
              </w:rPr>
              <w:t>Dental</w:t>
            </w:r>
          </w:p>
        </w:tc>
        <w:tc>
          <w:tcPr>
            <w:tcW w:type="dxa" w:w="2376"/>
            <w:vAlign w:val="center"/>
          </w:tcPr>
          <w:p>
            <w:pPr>
              <w:spacing w:after="0"/>
              <w:jc w:val="left"/>
            </w:pPr>
            <w:r>
              <w:rPr>
                <w:rFonts w:ascii="Aptos" w:hAnsi="Aptos"/>
                <w:b/>
                <w:color w:val="5A6680"/>
                <w:sz w:val="15"/>
              </w:rPr>
              <w:t>TYPE</w:t>
              <w:br/>
            </w:r>
            <w:r>
              <w:rPr>
                <w:rFonts w:ascii="Aptos" w:hAnsi="Aptos"/>
                <w:b w:val="0"/>
                <w:color w:val="0F1A2E"/>
                <w:sz w:val="18"/>
              </w:rPr>
              <w:t>Decision Memo</w:t>
            </w:r>
          </w:p>
        </w:tc>
      </w:tr>
    </w:tbl>
    <w:p>
      <w:pPr>
        <w:pStyle w:val="Heading1"/>
        <w:spacing w:before="40" w:after="40"/>
      </w:pPr>
      <w:r>
        <w:rPr>
          <w:rFonts w:ascii="Georgia" w:hAnsi="Georgia"/>
          <w:b/>
          <w:color w:val="1A5CA0"/>
          <w:sz w:val="26"/>
        </w:rPr>
        <w:t>Decision</w:t>
      </w:r>
    </w:p>
    <w:p>
      <w:pPr>
        <w:spacing w:line="240" w:lineRule="auto" w:after="60"/>
      </w:pPr>
      <w:r>
        <w:rPr>
          <w:rFonts w:ascii="Aptos" w:hAnsi="Aptos"/>
          <w:i w:val="0"/>
          <w:color w:val="0F1A2E"/>
          <w:sz w:val="20"/>
        </w:rPr>
        <w:t>Leadership approves a staged mitigation path for Dental. The team will use partial sandbox access beginning April 18, pair remaining gaps with mock services, and continue to treat the product as caution until full environment validation is available.</w:t>
      </w:r>
    </w:p>
    <w:p>
      <w:pPr>
        <w:pStyle w:val="Heading1"/>
        <w:spacing w:before="40" w:after="40"/>
      </w:pPr>
      <w:r>
        <w:rPr>
          <w:rFonts w:ascii="Georgia" w:hAnsi="Georgia"/>
          <w:b/>
          <w:color w:val="1A5CA0"/>
          <w:sz w:val="26"/>
        </w:rPr>
        <w:t>Why This Is a Recovery, Not a Reset</w:t>
      </w:r>
    </w:p>
    <w:p>
      <w:pPr>
        <w:spacing w:line="240" w:lineRule="auto" w:after="60"/>
      </w:pPr>
      <w:r>
        <w:rPr>
          <w:rFonts w:ascii="Aptos" w:hAnsi="Aptos"/>
          <w:i w:val="0"/>
          <w:color w:val="0F1A2E"/>
          <w:sz w:val="20"/>
        </w:rPr>
        <w:t>The vendor path improved, but it did not erase the lost time or the remaining uncertainty around full access. The correct status is no longer severe risk, but it is not fully healthy either.</w:t>
      </w:r>
    </w:p>
    <w:p>
      <w:pPr>
        <w:pStyle w:val="Heading1"/>
        <w:spacing w:before="40" w:after="40"/>
      </w:pPr>
      <w:r>
        <w:rPr>
          <w:rFonts w:ascii="Georgia" w:hAnsi="Georgia"/>
          <w:b/>
          <w:color w:val="1A5CA0"/>
          <w:sz w:val="26"/>
        </w:rPr>
        <w:t>What Changes Immediately</w:t>
      </w:r>
    </w:p>
    <w:p>
      <w:pPr>
        <w:spacing w:line="240" w:lineRule="auto" w:after="60"/>
      </w:pPr>
      <w:r>
        <w:rPr>
          <w:rFonts w:ascii="Aptos" w:hAnsi="Aptos"/>
          <w:i w:val="0"/>
          <w:color w:val="0F1A2E"/>
          <w:sz w:val="20"/>
        </w:rPr>
        <w:t>The primary blocker is moved from active to partially mitigated, PI objective percentages are refreshed, and leadership-facing language is updated to reflect bounded uncertainty rather than open-ended delay.</w:t>
      </w:r>
    </w:p>
    <w:p>
      <w:pPr>
        <w:pStyle w:val="Heading1"/>
        <w:spacing w:before="40" w:after="40"/>
      </w:pPr>
      <w:r>
        <w:rPr>
          <w:rFonts w:ascii="Georgia" w:hAnsi="Georgia"/>
          <w:b/>
          <w:color w:val="1A5CA0"/>
          <w:sz w:val="26"/>
        </w:rPr>
        <w:t>What Remains Unresolved</w:t>
      </w:r>
    </w:p>
    <w:p>
      <w:pPr>
        <w:spacing w:line="240" w:lineRule="auto" w:after="60"/>
      </w:pPr>
      <w:r>
        <w:rPr>
          <w:rFonts w:ascii="Aptos" w:hAnsi="Aptos"/>
          <w:i w:val="0"/>
          <w:color w:val="0F1A2E"/>
          <w:sz w:val="20"/>
        </w:rPr>
        <w:t>Full vendor readiness is still targeted for April 25. Integration test harness work remains necessary, and the stakeholder demo still depends on disciplined scoping.</w:t>
      </w:r>
    </w:p>
    <w:p>
      <w:pPr>
        <w:pStyle w:val="Heading1"/>
        <w:spacing w:before="40" w:after="40"/>
      </w:pPr>
      <w:r>
        <w:rPr>
          <w:rFonts w:ascii="Georgia" w:hAnsi="Georgia"/>
          <w:b/>
          <w:color w:val="1A5CA0"/>
          <w:sz w:val="26"/>
        </w:rPr>
        <w:t>Required Follow-through</w:t>
      </w:r>
    </w:p>
    <w:p>
      <w:pPr>
        <w:spacing w:line="240" w:lineRule="auto" w:after="60"/>
      </w:pPr>
      <w:r>
        <w:rPr>
          <w:rFonts w:ascii="Aptos" w:hAnsi="Aptos"/>
          <w:i w:val="0"/>
          <w:color w:val="0F1A2E"/>
          <w:sz w:val="20"/>
        </w:rPr>
        <w:t>Jaden Cole updates the weekly narrative and report pack. Lowry Beckett circulates written milestone confirmation. Delivery teams align the ADO board to the staged-access plan.</w:t>
      </w:r>
    </w:p>
    <w:p>
      <w:pPr>
        <w:pStyle w:val="Heading1"/>
        <w:spacing w:before="40" w:after="40"/>
      </w:pPr>
      <w:r>
        <w:rPr>
          <w:rFonts w:ascii="Georgia" w:hAnsi="Georgia"/>
          <w:b/>
          <w:color w:val="1A5CA0"/>
          <w:sz w:val="26"/>
        </w:rPr>
        <w:t>Portfolio Message</w:t>
      </w:r>
    </w:p>
    <w:p>
      <w:pPr>
        <w:spacing w:line="240" w:lineRule="auto" w:after="60"/>
      </w:pPr>
      <w:r>
        <w:rPr>
          <w:rFonts w:ascii="Aptos" w:hAnsi="Aptos"/>
          <w:i w:val="0"/>
          <w:color w:val="0F1A2E"/>
          <w:sz w:val="20"/>
        </w:rPr>
        <w:t>Dental is improving because evidence now supports a managed recovery path. The application should surface that improvement while still showing the remaining risk honestly.</w:t>
      </w:r>
    </w:p>
    <w:sectPr w:rsidR="00FC693F" w:rsidRPr="0006063C" w:rsidSect="00034616">
      <w:footerReference w:type="default" r:id="rId9"/>
      <w:pgSz w:w="12240" w:h="15840"/>
      <w:pgMar w:top="792"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6680"/>
        <w:sz w:val="16"/>
      </w:rPr>
      <w:t>EIDS Prototype Pack — Synthetic Demo Artifact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1A5CA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F1A2E"/>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color w:val="0F1A2E"/>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A668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