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b/>
          <w:bCs/>
          <w:color w:val="1F4E79"/>
          <w:sz w:val="32"/>
          <w:szCs w:val="32"/>
          <w:rFonts w:ascii="Arial, sans-serif" w:cs="Arial, sans-serif" w:eastAsia="Arial, sans-serif" w:hAnsi="Arial, sans-serif"/>
        </w:rPr>
        <w:t xml:space="preserve">Stove-Pipe Prevention: Design Patterns for AskEIDS and the Agentic Data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Attribute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Detail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Document Title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Stove-Pipe Prevention: Design Patterns for AskEIDS and the Agentic Data Catalog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Draft for leadership review — intended to travel with the GovCloud West approval package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Version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2026-04-16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Author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Archie Bockhorst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Intended Audience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Engineering leadership, architecture review board, GovCloud approval reviewers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Scope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Cross-system architecture for AskEIDS (</w:t>
            </w:r>
            <w:r>
              <w:rPr>
                <w:sz w:val="18"/>
                <w:szCs w:val="18"/>
                <w:rFonts w:ascii="Consolas" w:cs="Consolas" w:eastAsia="Consolas" w:hAnsi="Consolas"/>
              </w:rPr>
              <w:t xml:space="preserve">C:\Projects\AskEIDS</w:t>
            </w:r>
            <w:r>
              <w:rPr>
                <w:sz w:val="20"/>
                <w:szCs w:val="20"/>
                <w:rFonts w:ascii="Arial, sans-serif" w:cs="Arial, sans-serif" w:eastAsia="Arial, sans-serif" w:hAnsi="Arial, sans-serif"/>
              </w:rPr>
              <w:t xml:space="preserve">) and the Agentic Data Catalog — NoDocker (</w:t>
            </w:r>
            <w:r>
              <w:rPr>
                <w:sz w:val="18"/>
                <w:szCs w:val="18"/>
                <w:rFonts w:ascii="Consolas" w:cs="Consolas" w:eastAsia="Consolas" w:hAnsi="Consolas"/>
              </w:rPr>
              <w:t xml:space="preserve">C:\Projects\AgenticDataCatalog-NoDocker</w:t>
            </w:r>
            <w:r>
              <w:rPr>
                <w:sz w:val="20"/>
                <w:szCs w:val="20"/>
                <w:rFonts w:ascii="Arial, sans-serif" w:cs="Arial, sans-serif" w:eastAsia="Arial, sans-serif" w:hAnsi="Arial, sans-serif"/>
              </w:rPr>
              <w:t xml:space="preserve">) as both prepare to deploy to AWS GovCloud West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Question Answered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What design patterns should we use to make sure we don't build a lot of stove-pipes?</w:t>
            </w:r>
          </w:p>
        </w:tc>
      </w:tr>
    </w:tbl>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TL;DR</w:t>
      </w:r>
    </w:p>
    <w:p>
      <w:pPr>
        <w:spacing w:after="200"/>
      </w:pPr>
      <w:r>
        <w:rPr>
          <w:sz w:val="22"/>
          <w:szCs w:val="22"/>
          <w:rFonts w:ascii="Arial, sans-serif" w:cs="Arial, sans-serif" w:eastAsia="Arial, sans-serif" w:hAnsi="Arial, sans-serif"/>
        </w:rPr>
        <w:t xml:space="preserve">These two systems already duplicate five concrete pieces of code and are about to duplicate a sixth — the GovCloud deployment blueprint. The fix is not "a new framework." It is a small set of proven design patterns applied deliberately </w:t>
      </w:r>
      <w:r>
        <w:rPr>
          <w:b/>
          <w:bCs/>
          <w:sz w:val="22"/>
          <w:szCs w:val="22"/>
          <w:rFonts w:ascii="Arial, sans-serif" w:cs="Arial, sans-serif" w:eastAsia="Arial, sans-serif" w:hAnsi="Arial, sans-serif"/>
        </w:rPr>
        <w:t xml:space="preserve">before</w:t>
      </w:r>
      <w:r>
        <w:rPr>
          <w:sz w:val="22"/>
          <w:szCs w:val="22"/>
          <w:rFonts w:ascii="Arial, sans-serif" w:cs="Arial, sans-serif" w:eastAsia="Arial, sans-serif" w:hAnsi="Arial, sans-serif"/>
        </w:rPr>
        <w:t xml:space="preserve"> both apps enter GovCloud West, anchored on a </w:t>
      </w:r>
      <w:r>
        <w:rPr>
          <w:b/>
          <w:bCs/>
          <w:sz w:val="22"/>
          <w:szCs w:val="22"/>
          <w:rFonts w:ascii="Arial, sans-serif" w:cs="Arial, sans-serif" w:eastAsia="Arial, sans-serif" w:hAnsi="Arial, sans-serif"/>
        </w:rPr>
        <w:t xml:space="preserve">shared platform kernel</w:t>
      </w:r>
      <w:r>
        <w:rPr>
          <w:sz w:val="22"/>
          <w:szCs w:val="22"/>
          <w:rFonts w:ascii="Arial, sans-serif" w:cs="Arial, sans-serif" w:eastAsia="Arial, sans-serif" w:hAnsi="Arial, sans-serif"/>
        </w:rPr>
        <w:t xml:space="preserve"> that we already have most of in the ADC </w:t>
      </w:r>
      <w:r>
        <w:rPr>
          <w:sz w:val="20"/>
          <w:szCs w:val="20"/>
          <w:rFonts w:ascii="Consolas" w:cs="Consolas" w:eastAsia="Consolas" w:hAnsi="Consolas"/>
          <w:shd w:fill="F5F5F5"/>
        </w:rPr>
        <w:t xml:space="preserve">shared/</w:t>
      </w:r>
      <w:r>
        <w:rPr>
          <w:sz w:val="22"/>
          <w:szCs w:val="22"/>
          <w:rFonts w:ascii="Arial, sans-serif" w:cs="Arial, sans-serif" w:eastAsia="Arial, sans-serif" w:hAnsi="Arial, sans-serif"/>
        </w:rPr>
        <w:t xml:space="preserve"> workspace.</w:t>
      </w:r>
    </w:p>
    <w:p>
      <w:pPr>
        <w:spacing w:after="200"/>
      </w:pPr>
      <w:r>
        <w:rPr>
          <w:sz w:val="22"/>
          <w:szCs w:val="22"/>
          <w:rFonts w:ascii="Arial, sans-serif" w:cs="Arial, sans-serif" w:eastAsia="Arial, sans-serif" w:hAnsi="Arial, sans-serif"/>
        </w:rPr>
        <w:t xml:space="preserve">Recommendation: promote ADC's </w:t>
      </w:r>
      <w:r>
        <w:rPr>
          <w:sz w:val="20"/>
          <w:szCs w:val="20"/>
          <w:rFonts w:ascii="Consolas" w:cs="Consolas" w:eastAsia="Consolas" w:hAnsi="Consolas"/>
          <w:shd w:fill="F5F5F5"/>
        </w:rPr>
        <w:t xml:space="preserve">shared/</w:t>
      </w:r>
      <w:r>
        <w:rPr>
          <w:sz w:val="22"/>
          <w:szCs w:val="22"/>
          <w:rFonts w:ascii="Arial, sans-serif" w:cs="Arial, sans-serif" w:eastAsia="Arial, sans-serif" w:hAnsi="Arial, sans-serif"/>
        </w:rPr>
        <w:t xml:space="preserve"> to a versioned internal package, migrate AskEIDS to consume it, and adopt a contract-first API + shared IaC + shared identity model across both systems. This is a weeks-of-effort investment that prevents years of divergence and a multi-month re-approval cycle if we let the two systems diverge in GovCloud.</w:t>
      </w:r>
    </w:p>
    <w:p>
      <w:pPr>
        <w:spacing w:after="200"/>
      </w:pPr>
      <w:r>
        <w:rPr>
          <w:sz w:val="22"/>
          <w:szCs w:val="22"/>
          <w:rFonts w:ascii="Arial, sans-serif" w:cs="Arial, sans-serif" w:eastAsia="Arial, sans-serif" w:hAnsi="Arial, sans-serif"/>
        </w:rPr>
        <w:t xml:space="preserve">DuckDB is approved for our production environment, which means AskEIDS does not need to re-platform its persistence layer. That removes the single biggest infrastructure risk from AskEIDS's GovCloud path and lets us focus the shared-kernel work on the code layers that actually duplicate.</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1. Current Overlap (what is already duplicated)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Concern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AskEIDS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ADC</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Status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Bedrock text client (Converse API, model allow-list)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server/src/lib/aws/bedrockText.js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services/agent/src/bedrock.js</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shared/src/bedrockCompliance.js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Duplicate; ADC already has GovCloud/FIPS compliance enforcement AskEIDS lacks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Titan embedding client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server/src/lib/aws/titanEmbeddings.js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services/agent/src/embeddings.js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Near-identical — same invoke body, same L2-normalize, same pseudo fallback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AWS FIPS endpoint + client-options builder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server/src/lib/aws/bedrockCompliance.js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shared/src/bedrockCompliance.js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Two codepaths, same requirement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Structured logging + correlation-id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Ad-hoc JSON </w:t>
            </w:r>
            <w:r>
              <w:rPr>
                <w:sz w:val="18"/>
                <w:szCs w:val="18"/>
                <w:rFonts w:ascii="Consolas" w:cs="Consolas" w:eastAsia="Consolas" w:hAnsi="Consolas"/>
              </w:rPr>
              <w:t xml:space="preserve">console.*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pino</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shared/src/logger.js</w:t>
            </w:r>
            <w:r>
              <w:rPr>
                <w:sz w:val="20"/>
                <w:szCs w:val="20"/>
                <w:rFonts w:ascii="Arial, sans-serif" w:cs="Arial, sans-serif" w:eastAsia="Arial, sans-serif" w:hAnsi="Arial, sans-serif"/>
              </w:rPr>
              <w:t xml:space="preserve"> with correlation/user/role mixin, redaction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Missing on AskEIDS — GovCloud cyber will force 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Deployment blueprint (EC2 + nginx + TLS + RDS/DB)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Zero IaC committed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infra/cloudformation/staging2.yaml</w:t>
            </w:r>
            <w:r>
              <w:rPr>
                <w:sz w:val="20"/>
                <w:szCs w:val="20"/>
                <w:rFonts w:ascii="Arial, sans-serif" w:cs="Arial, sans-serif" w:eastAsia="Arial, sans-serif" w:hAnsi="Arial, sans-serif"/>
              </w:rPr>
              <w:t xml:space="preserve">, systemd unit templates, STIG assessments, operator runbooks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AskEIDS will build a parallel stack from scratch if we do not intervene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Auth + roles + session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Dev-stub header middleware (</w:t>
            </w:r>
            <w:r>
              <w:rPr>
                <w:sz w:val="18"/>
                <w:szCs w:val="18"/>
                <w:rFonts w:ascii="Consolas" w:cs="Consolas" w:eastAsia="Consolas" w:hAnsi="Consolas"/>
              </w:rPr>
              <w:t xml:space="preserve">x-eids-role</w:t>
            </w:r>
            <w:r>
              <w:rPr>
                <w:sz w:val="20"/>
                <w:szCs w:val="20"/>
                <w:rFonts w:ascii="Arial, sans-serif" w:cs="Arial, sans-serif" w:eastAsia="Arial, sans-serif" w:hAnsi="Arial, sans-serif"/>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JWT session/service/dev modes, role registry, working login UI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AskEIDS has no production auth story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OpenAPI contracts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None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openapi/agent.yaml</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openapi/coordinator.yaml</w:t>
            </w:r>
            <w:r>
              <w:rPr>
                <w:sz w:val="20"/>
                <w:szCs w:val="20"/>
                <w:rFonts w:ascii="Arial, sans-serif" w:cs="Arial, sans-serif" w:eastAsia="Arial, sans-serif" w:hAnsi="Arial, sans-serif"/>
              </w:rPr>
              <w:t xml:space="preserve"> with shared error envelope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Incompatible error shapes (</w:t>
            </w:r>
            <w:r>
              <w:rPr>
                <w:sz w:val="18"/>
                <w:szCs w:val="18"/>
                <w:rFonts w:ascii="Consolas" w:cs="Consolas" w:eastAsia="Consolas" w:hAnsi="Consolas"/>
              </w:rPr>
              <w:t xml:space="preserve">{error:{code,...}}</w:t>
            </w:r>
            <w:r>
              <w:rPr>
                <w:sz w:val="20"/>
                <w:szCs w:val="20"/>
                <w:rFonts w:ascii="Arial, sans-serif" w:cs="Arial, sans-serif" w:eastAsia="Arial, sans-serif" w:hAnsi="Arial, sans-serif"/>
              </w:rPr>
              <w:t xml:space="preserve"> vs </w:t>
            </w:r>
            <w:r>
              <w:rPr>
                <w:sz w:val="18"/>
                <w:szCs w:val="18"/>
                <w:rFonts w:ascii="Consolas" w:cs="Consolas" w:eastAsia="Consolas" w:hAnsi="Consolas"/>
              </w:rPr>
              <w:t xml:space="preserve">{error_code,...}</w:t>
            </w:r>
            <w:r>
              <w:rPr>
                <w:sz w:val="20"/>
                <w:szCs w:val="20"/>
                <w:rFonts w:ascii="Arial, sans-serif" w:cs="Arial, sans-serif" w:eastAsia="Arial, sans-serif" w:hAnsi="Arial, sans-serif"/>
              </w:rPr>
              <w:t xml:space="preserve">) — fix now or migrate both later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Job state machine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In-memory durable job pump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SQL Server </w:t>
            </w:r>
            <w:r>
              <w:rPr>
                <w:sz w:val="18"/>
                <w:szCs w:val="18"/>
                <w:rFonts w:ascii="Consolas" w:cs="Consolas" w:eastAsia="Consolas" w:hAnsi="Consolas"/>
              </w:rPr>
              <w:t xml:space="preserve">doc_index_jobs</w:t>
            </w:r>
            <w:r>
              <w:rPr>
                <w:sz w:val="20"/>
                <w:szCs w:val="20"/>
                <w:rFonts w:ascii="Arial, sans-serif" w:cs="Arial, sans-serif" w:eastAsia="Arial, sans-serif" w:hAnsi="Arial, sans-serif"/>
              </w:rPr>
              <w:t xml:space="preserve"> with `queued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running</w:t>
            </w:r>
          </w:p>
        </w:tc>
      </w:tr>
    </w:tbl>
    <w:p>
      <w:pPr>
        <w:spacing w:after="200"/>
      </w:pPr>
      <w:r>
        <w:rPr>
          <w:sz w:val="22"/>
          <w:szCs w:val="22"/>
          <w:rFonts w:ascii="Arial, sans-serif" w:cs="Arial, sans-serif" w:eastAsia="Arial, sans-serif" w:hAnsi="Arial, sans-serif"/>
        </w:rPr>
        <w:t xml:space="preserve">That is eight places where two engineers could ship independently and create permanent divergence. Five of them are code we have already written twice; three are capabilities AskEIDS still lacks and will either build from scratch or inherit from ADC.</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2. Recommended Design Patterns</w:t>
      </w:r>
    </w:p>
    <w:p>
      <w:pPr>
        <w:spacing w:after="200"/>
      </w:pPr>
      <w:r>
        <w:rPr>
          <w:sz w:val="22"/>
          <w:szCs w:val="22"/>
          <w:rFonts w:ascii="Arial, sans-serif" w:cs="Arial, sans-serif" w:eastAsia="Arial, sans-serif" w:hAnsi="Arial, sans-serif"/>
        </w:rPr>
        <w:t xml:space="preserve">Each pattern is named, paired with what it buys us, and tied to a first concrete application. None of these require inventing new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Pattern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What it buys 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First applied to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Shared Kernel</w:t>
            </w:r>
            <w:r>
              <w:rPr>
                <w:sz w:val="20"/>
                <w:szCs w:val="20"/>
                <w:rFonts w:ascii="Arial, sans-serif" w:cs="Arial, sans-serif" w:eastAsia="Arial, sans-serif" w:hAnsi="Arial, sans-serif"/>
              </w:rPr>
              <w:t xml:space="preserve"> (one versioned npm package both apps consume)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Single source for Bedrock client, Titan, auth, logger, env helpers, error envelope, role registry, FIPS options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Extract from ADC </w:t>
            </w:r>
            <w:r>
              <w:rPr>
                <w:sz w:val="18"/>
                <w:szCs w:val="18"/>
                <w:rFonts w:ascii="Consolas" w:cs="Consolas" w:eastAsia="Consolas" w:hAnsi="Consolas"/>
              </w:rPr>
              <w:t xml:space="preserve">shared/</w:t>
            </w:r>
            <w:r>
              <w:rPr>
                <w:sz w:val="20"/>
                <w:szCs w:val="20"/>
                <w:rFonts w:ascii="Arial, sans-serif" w:cs="Arial, sans-serif" w:eastAsia="Arial, sans-serif" w:hAnsi="Arial, sans-serif"/>
              </w:rPr>
              <w:t xml:space="preserve"> today; consume from AskEIDS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Ports &amp; Adapters (Hexagonal)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Both apps depend on domain ports (</w:t>
            </w:r>
            <w:r>
              <w:rPr>
                <w:sz w:val="18"/>
                <w:szCs w:val="18"/>
                <w:rFonts w:ascii="Consolas" w:cs="Consolas" w:eastAsia="Consolas" w:hAnsi="Consolas"/>
              </w:rPr>
              <w:t xml:space="preserve">EmbeddingProvider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VectorStore</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LlmProvider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IdentityProvider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JobQueue</w:t>
            </w:r>
            <w:r>
              <w:rPr>
                <w:sz w:val="20"/>
                <w:szCs w:val="20"/>
                <w:rFonts w:ascii="Arial, sans-serif" w:cs="Arial, sans-serif" w:eastAsia="Arial, sans-serif" w:hAnsi="Arial, sans-serif"/>
              </w:rPr>
              <w:t xml:space="preserve">). Adapters live in the kernel. Swaps are trivial.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Wrap existing Bedrock/Titan/vector code behind interfaces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Contract-First API (OpenAPI 3.1)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One published spec per service, versioned. Prevents wire-contract drift. Generates client types for the UI.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AskEIDS adopts ADC's style; both use the same shared error envelope schema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Typed Error Envelope (shared 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error shape everywhere: </w:t>
            </w:r>
            <w:r>
              <w:rPr>
                <w:sz w:val="18"/>
                <w:szCs w:val="18"/>
                <w:rFonts w:ascii="Consolas" w:cs="Consolas" w:eastAsia="Consolas" w:hAnsi="Consolas"/>
              </w:rPr>
              <w:t xml:space="preserve">{ code, message, correlationId, details? }</w:t>
            </w:r>
            <w:r>
              <w:rPr>
                <w:sz w:val="20"/>
                <w:szCs w:val="20"/>
                <w:rFonts w:ascii="Arial, sans-serif" w:cs="Arial, sans-serif" w:eastAsia="Arial, sans-serif" w:hAnsi="Arial, sans-serif"/>
              </w:rPr>
              <w:t xml:space="preserve">. UI error handling ships once.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Reconcile AskEIDS and ADC envelopes in the kernel now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Shared Identity + RBAC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One JWT issuer, one role registry, one session contract. GovCloud audit expects this.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Replace AskEIDS mock auth with ADC's </w:t>
            </w:r>
            <w:r>
              <w:rPr>
                <w:sz w:val="18"/>
                <w:szCs w:val="18"/>
                <w:rFonts w:ascii="Consolas" w:cs="Consolas" w:eastAsia="Consolas" w:hAnsi="Consolas"/>
              </w:rPr>
              <w:t xml:space="preserve">shared/src/auth.js</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shared/src/roles.js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Repository Pattern for State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State store behind a </w:t>
            </w:r>
            <w:r>
              <w:rPr>
                <w:sz w:val="18"/>
                <w:szCs w:val="18"/>
                <w:rFonts w:ascii="Consolas" w:cs="Consolas" w:eastAsia="Consolas" w:hAnsi="Consolas"/>
              </w:rPr>
              <w:t xml:space="preserve">StateRepository</w:t>
            </w:r>
            <w:r>
              <w:rPr>
                <w:sz w:val="20"/>
                <w:szCs w:val="20"/>
                <w:rFonts w:ascii="Arial, sans-serif" w:cs="Arial, sans-serif" w:eastAsia="Arial, sans-serif" w:hAnsi="Arial, sans-serif"/>
              </w:rPr>
              <w:t xml:space="preserve"> interface. AskEIDS stays on DuckDB (now approved for prod); ADC stays on SQL Server. Behavior contracts (idempotency, CAS, transactions) are specified against the interface, not the engine.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Keep both engines; unify the contract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Domain Events (lightweight)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When ADC's catalog artifacts need to feed AskEIDS (or vice versa), publish events rather than call each other's APIs. Prevents tight coupling and cross-outage blast radius.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EventBridge or S3-backed append log; no new infra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Shared Deployment Blueprint (IaC as a library)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CloudFormation nested-stack library: base VPC + Bedrock VPC endpoints + SSM layout + nginx/Caddy + systemd templates. Both apps instantiate it with app-specific params.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Promote </w:t>
            </w:r>
            <w:r>
              <w:rPr>
                <w:sz w:val="18"/>
                <w:szCs w:val="18"/>
                <w:rFonts w:ascii="Consolas" w:cs="Consolas" w:eastAsia="Consolas" w:hAnsi="Consolas"/>
              </w:rPr>
              <w:t xml:space="preserve">ADC/infra/cloudformation/staging2.yaml</w:t>
            </w:r>
            <w:r>
              <w:rPr>
                <w:sz w:val="20"/>
                <w:szCs w:val="20"/>
                <w:rFonts w:ascii="Arial, sans-serif" w:cs="Arial, sans-serif" w:eastAsia="Arial, sans-serif" w:hAnsi="Arial, sans-serif"/>
              </w:rPr>
              <w:t xml:space="preserve"> to a reusable module; AskEIDS consumes 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Shared Observability Contract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One log schema, one metrics namespace (</w:t>
            </w:r>
            <w:r>
              <w:rPr>
                <w:sz w:val="18"/>
                <w:szCs w:val="18"/>
                <w:rFonts w:ascii="Consolas" w:cs="Consolas" w:eastAsia="Consolas" w:hAnsi="Consolas"/>
              </w:rPr>
              <w:t xml:space="preserve">dha_&lt;app&gt;_&lt;metric&gt;</w:t>
            </w:r>
            <w:r>
              <w:rPr>
                <w:sz w:val="20"/>
                <w:szCs w:val="20"/>
                <w:rFonts w:ascii="Arial, sans-serif" w:cs="Arial, sans-serif" w:eastAsia="Arial, sans-serif" w:hAnsi="Arial, sans-serif"/>
              </w:rPr>
              <w:t xml:space="preserve">), one correlation-id header, one CloudWatch log-group naming convention. Cross-system traces become real.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Pino + correlation-id middleware from the kernel on both apps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Task/Strategy Pattern for LLM calls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Named tasks (</w:t>
            </w:r>
            <w:r>
              <w:rPr>
                <w:sz w:val="18"/>
                <w:szCs w:val="18"/>
                <w:rFonts w:ascii="Consolas" w:cs="Consolas" w:eastAsia="Consolas" w:hAnsi="Consolas"/>
              </w:rPr>
              <w:t xml:space="preserve">extraction</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ask</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summarize</w:t>
            </w:r>
            <w:r>
              <w:rPr>
                <w:sz w:val="20"/>
                <w:szCs w:val="20"/>
                <w:rFonts w:ascii="Arial, sans-serif" w:cs="Arial, sans-serif" w:eastAsia="Arial, sans-serif" w:hAnsi="Arial, sans-serif"/>
              </w:rPr>
              <w:t xml:space="preserve">) with a per-task prompt registry, run through one </w:t>
            </w:r>
            <w:r>
              <w:rPr>
                <w:sz w:val="18"/>
                <w:szCs w:val="18"/>
                <w:rFonts w:ascii="Consolas" w:cs="Consolas" w:eastAsia="Consolas" w:hAnsi="Consolas"/>
              </w:rPr>
              <w:t xml:space="preserve">LlmTaskRunner</w:t>
            </w:r>
            <w:r>
              <w:rPr>
                <w:sz w:val="20"/>
                <w:szCs w:val="20"/>
                <w:rFonts w:ascii="Arial, sans-serif" w:cs="Arial, sans-serif" w:eastAsia="Arial, sans-serif" w:hAnsi="Arial, sans-serif"/>
              </w:rPr>
              <w:t xml:space="preserve">. Avoids two bespoke Bedrock callers with diverging retry/caching/guardrail logic.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Add </w:t>
            </w:r>
            <w:r>
              <w:rPr>
                <w:sz w:val="18"/>
                <w:szCs w:val="18"/>
                <w:rFonts w:ascii="Consolas" w:cs="Consolas" w:eastAsia="Consolas" w:hAnsi="Consolas"/>
              </w:rPr>
              <w:t xml:space="preserve">LlmTaskRunner</w:t>
            </w:r>
            <w:r>
              <w:rPr>
                <w:sz w:val="20"/>
                <w:szCs w:val="20"/>
                <w:rFonts w:ascii="Arial, sans-serif" w:cs="Arial, sans-serif" w:eastAsia="Arial, sans-serif" w:hAnsi="Arial, sans-serif"/>
              </w:rPr>
              <w:t xml:space="preserve"> to the kernel; both apps register tasks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Shared UI Kit (minimal)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Classification banner, auth header, error toast, loading/empty states, </w:t>
            </w:r>
            <w:r>
              <w:rPr>
                <w:sz w:val="18"/>
                <w:szCs w:val="18"/>
                <w:rFonts w:ascii="Consolas" w:cs="Consolas" w:eastAsia="Consolas" w:hAnsi="Consolas"/>
              </w:rPr>
              <w:t xml:space="preserve">data-testid</w:t>
            </w:r>
            <w:r>
              <w:rPr>
                <w:sz w:val="20"/>
                <w:szCs w:val="20"/>
                <w:rFonts w:ascii="Arial, sans-serif" w:cs="Arial, sans-serif" w:eastAsia="Arial, sans-serif" w:hAnsi="Arial, sans-serif"/>
              </w:rPr>
              <w:t xml:space="preserve"> conventions. Keeps UX consistent for DHA leadership reviewers.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Extract to </w:t>
            </w:r>
            <w:r>
              <w:rPr>
                <w:sz w:val="18"/>
                <w:szCs w:val="18"/>
                <w:rFonts w:ascii="Consolas" w:cs="Consolas" w:eastAsia="Consolas" w:hAnsi="Consolas"/>
              </w:rPr>
              <w:t xml:space="preserve">@dha/ui</w:t>
            </w:r>
            <w:r>
              <w:rPr>
                <w:sz w:val="20"/>
                <w:szCs w:val="20"/>
                <w:rFonts w:ascii="Arial, sans-serif" w:cs="Arial, sans-serif" w:eastAsia="Arial, sans-serif" w:hAnsi="Arial, sans-serif"/>
              </w:rPr>
              <w:t xml:space="preserve">; both apps import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Plugin-style Source/Artifact Registry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Unified schema shape (</w:t>
            </w:r>
            <w:r>
              <w:rPr>
                <w:sz w:val="18"/>
                <w:szCs w:val="18"/>
                <w:rFonts w:ascii="Consolas" w:cs="Consolas" w:eastAsia="Consolas" w:hAnsi="Consolas"/>
              </w:rPr>
              <w:t xml:space="preserve">{sourceType, family, class, ingestBehavior}</w:t>
            </w:r>
            <w:r>
              <w:rPr>
                <w:sz w:val="20"/>
                <w:szCs w:val="20"/>
                <w:rFonts w:ascii="Arial, sans-serif" w:cs="Arial, sans-serif" w:eastAsia="Arial, sans-serif" w:hAnsi="Arial, sans-serif"/>
              </w:rPr>
              <w:t xml:space="preserve">) with per-product definitions. AskEIDS's </w:t>
            </w:r>
            <w:r>
              <w:rPr>
                <w:sz w:val="18"/>
                <w:szCs w:val="18"/>
                <w:rFonts w:ascii="Consolas" w:cs="Consolas" w:eastAsia="Consolas" w:hAnsi="Consolas"/>
              </w:rPr>
              <w:t xml:space="preserve">SOURCE_TYPE_DEFINITIONS</w:t>
            </w:r>
            <w:r>
              <w:rPr>
                <w:sz w:val="20"/>
                <w:szCs w:val="20"/>
                <w:rFonts w:ascii="Arial, sans-serif" w:cs="Arial, sans-serif" w:eastAsia="Arial, sans-serif" w:hAnsi="Arial, sans-serif"/>
              </w:rPr>
              <w:t xml:space="preserve"> and ADC's </w:t>
            </w:r>
            <w:r>
              <w:rPr>
                <w:sz w:val="18"/>
                <w:szCs w:val="18"/>
                <w:rFonts w:ascii="Consolas" w:cs="Consolas" w:eastAsia="Consolas" w:hAnsi="Consolas"/>
              </w:rPr>
              <w:t xml:space="preserve">ARTIFACT_LABELS</w:t>
            </w:r>
            <w:r>
              <w:rPr>
                <w:sz w:val="20"/>
                <w:szCs w:val="20"/>
                <w:rFonts w:ascii="Arial, sans-serif" w:cs="Arial, sans-serif" w:eastAsia="Arial, sans-serif" w:hAnsi="Arial, sans-serif"/>
              </w:rPr>
              <w:t xml:space="preserve">/</w:t>
            </w:r>
            <w:r>
              <w:rPr>
                <w:sz w:val="18"/>
                <w:szCs w:val="18"/>
                <w:rFonts w:ascii="Consolas" w:cs="Consolas" w:eastAsia="Consolas" w:hAnsi="Consolas"/>
              </w:rPr>
              <w:t xml:space="preserve">CLASSIFICATION_OPTIONS</w:t>
            </w:r>
            <w:r>
              <w:rPr>
                <w:sz w:val="20"/>
                <w:szCs w:val="20"/>
                <w:rFonts w:ascii="Arial, sans-serif" w:cs="Arial, sans-serif" w:eastAsia="Arial, sans-serif" w:hAnsi="Arial, sans-serif"/>
              </w:rPr>
              <w:t xml:space="preserve"> converge on the same shape while keeping their own rows.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kernel schema; per-product tables</w:t>
            </w:r>
          </w:p>
        </w:tc>
      </w:tr>
    </w:tbl>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3. GovCloud-Specific Guardrails</w:t>
      </w:r>
    </w:p>
    <w:p>
      <w:pPr>
        <w:spacing w:after="200"/>
      </w:pPr>
      <w:r>
        <w:rPr>
          <w:sz w:val="22"/>
          <w:szCs w:val="22"/>
          <w:rFonts w:ascii="Arial, sans-serif" w:cs="Arial, sans-serif" w:eastAsia="Arial, sans-serif" w:hAnsi="Arial, sans-serif"/>
        </w:rPr>
        <w:t xml:space="preserve">These are operational guardrails that sit alongside the code patterns above. They are not optional for a compliant GovCloud deployment, and they are much cheaper to get right once across both systems than twice per system.</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One PrivateLink / VPC endpoint set for Bedrock (not two per app). Terminates in a shared VPC both apps peer into.</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Consistent Secrets Manager / Parameter Store naming (e.g., /dha/platform/* shared, /dha/&lt;app&gt;/* app-scoped). Audit-friendly and IAM-policy-friendly.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CloudTrail + GuardDuty baseline. One baseline, both apps inherit.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IAM role boundaries. Prevents one app quietly gaining broader permissions than the other. Enforced via Permission Boundaries in the shared IaC.</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STIG-hardened AMI + patching cadence. ADC already has STIG/SRG assessment work done under DockerMigration/CyberHardening/ — do not discard 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FIPS endpoint enforcement in one place. ADC's bedrockCompliance.js already does this; promote it to the kernel and remove the duplicate in AskEIDS.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One CloudWatch log-group convention so SIEM / incident-response can correlate across apps without custom parsers.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4. Sequencing (what to do and in what order)</w:t>
      </w:r>
    </w:p>
    <w:p>
      <w:pPr>
        <w:pStyle w:val="Heading3"/>
        <w:spacing w:before="240" w:after="120"/>
      </w:pPr>
      <w:r>
        <w:rPr>
          <w:b/>
          <w:bCs/>
          <w:color w:val="1F4E79"/>
          <w:sz w:val="24"/>
          <w:szCs w:val="24"/>
          <w:rFonts w:ascii="Arial, sans-serif" w:cs="Arial, sans-serif" w:eastAsia="Arial, sans-serif" w:hAnsi="Arial, sans-serif"/>
        </w:rPr>
        <w:t xml:space="preserve">Weeks 1–2 — before either system moves further into GovCloud</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Promote ADC's shared/ workspace (bedrockCompliance.js, auth.js, logger.js, env.js, roles.js, vectorStore.js) to a versioned internal package. Working name: @dha/platform-kernel.</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Reconcile the error envelope. One shape, now. This is the single cheapest high-leverage fix on the list.</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Migrate AskEIDS's bedrockText.js, titanEmbeddings.js, and bedrockCompliance.js to consume the kernel. Delete the duplicates.</w:t>
      </w:r>
    </w:p>
    <w:p>
      <w:pPr>
        <w:pStyle w:val="Heading3"/>
        <w:spacing w:before="240" w:after="120"/>
      </w:pPr>
      <w:r>
        <w:rPr>
          <w:b/>
          <w:bCs/>
          <w:color w:val="1F4E79"/>
          <w:sz w:val="24"/>
          <w:szCs w:val="24"/>
          <w:rFonts w:ascii="Arial, sans-serif" w:cs="Arial, sans-serif" w:eastAsia="Arial, sans-serif" w:hAnsi="Arial, sans-serif"/>
        </w:rPr>
        <w:t xml:space="preserve">Weeks 3–4</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AskEIDS adopts OpenAPI 3.1 for its routes (mirrors ADC's openapi/agent.yaml and openapi/coordinator.yaml).</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AskEIDS replaces its dev-stub auth with the kernel's JWT middleware.</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AskEIDS adds pino + correlation-id middleware from the kernel; retires ad-hoc console.* logging.</w:t>
      </w:r>
    </w:p>
    <w:p>
      <w:pPr>
        <w:pStyle w:val="Heading3"/>
        <w:spacing w:before="240" w:after="120"/>
      </w:pPr>
      <w:r>
        <w:rPr>
          <w:b/>
          <w:bCs/>
          <w:color w:val="1F4E79"/>
          <w:sz w:val="24"/>
          <w:szCs w:val="24"/>
          <w:rFonts w:ascii="Arial, sans-serif" w:cs="Arial, sans-serif" w:eastAsia="Arial, sans-serif" w:hAnsi="Arial, sans-serif"/>
        </w:rPr>
        <w:t xml:space="preserve">Before GovCloud launch — both apps</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Extract infra/cloudformation/staging2.yaml into reusable nested stacks (base VPC + endpoints + IAM boundary + nginx/systemd templates). Both apps instantiate the same base.</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Single VPC endpoint deployment for Bedrock. Both apps peer in.</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Shared SSM parameter layout + Secrets Manager layout + CloudTrail/CloudWatch conventions applied to both apps.</w:t>
      </w:r>
    </w:p>
    <w:p>
      <w:pPr>
        <w:pStyle w:val="Heading3"/>
        <w:spacing w:before="240" w:after="120"/>
      </w:pPr>
      <w:r>
        <w:rPr>
          <w:b/>
          <w:bCs/>
          <w:color w:val="1F4E79"/>
          <w:sz w:val="24"/>
          <w:szCs w:val="24"/>
          <w:rFonts w:ascii="Arial, sans-serif" w:cs="Arial, sans-serif" w:eastAsia="Arial, sans-serif" w:hAnsi="Arial, sans-serif"/>
        </w:rPr>
        <w:t xml:space="preserve">Ongoing</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@dha/ui minimal kit (classification banner, auth UI, error rendering) consumed by both frontends.</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ADR (architecture decision record) repo referenced by both projects; every kernel change lands with an ADR.</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When cross-system data sharing becomes real (catalog artifacts → AskEIDS sources, or usage telemetry either direction), introduce domain events via EventBridge. Do not let the apps call each other's HTTP APIs synchronously in production.</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5. DuckDB Note (prod-approved)</w:t>
      </w:r>
    </w:p>
    <w:p>
      <w:pPr>
        <w:spacing w:after="200"/>
      </w:pPr>
      <w:r>
        <w:rPr>
          <w:sz w:val="22"/>
          <w:szCs w:val="22"/>
          <w:rFonts w:ascii="Arial, sans-serif" w:cs="Arial, sans-serif" w:eastAsia="Arial, sans-serif" w:hAnsi="Arial, sans-serif"/>
        </w:rPr>
        <w:t xml:space="preserve">With DuckDB approved for production, the persistence picture simplifies: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AskEIDS stays on DuckDB (runtime-state.duckdb, prototype-rag.duckdb). No re-platforming needed for GovCloud.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ADC stays on SQL Server. It already has the schema, CloudFormation RDS instance, and migration story.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The StateRepository interface in the kernel covers both engines without forcing a single choice on either product.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Optional future lever: DuckDB can become the approved lightweight store for any new service in this portfolio, so every new workload does not drag in RDS. Worth formalizing if more DHA products are coming.</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6. The Single Most Important Thing</w:t>
      </w:r>
    </w:p>
    <w:p>
      <w:pPr>
        <w:spacing w:after="200"/>
      </w:pPr>
      <w:r>
        <w:rPr>
          <w:sz w:val="22"/>
          <w:szCs w:val="22"/>
          <w:rFonts w:ascii="Arial, sans-serif" w:cs="Arial, sans-serif" w:eastAsia="Arial, sans-serif" w:hAnsi="Arial, sans-serif"/>
        </w:rPr>
        <w:t xml:space="preserve">If we do only one thing from this list, it should be </w:t>
      </w:r>
      <w:r>
        <w:rPr>
          <w:b/>
          <w:bCs/>
          <w:sz w:val="22"/>
          <w:szCs w:val="22"/>
          <w:rFonts w:ascii="Arial, sans-serif" w:cs="Arial, sans-serif" w:eastAsia="Arial, sans-serif" w:hAnsi="Arial, sans-serif"/>
        </w:rPr>
        <w:t xml:space="preserve">promote ADC's shared/ to a versioned kernel and make AskEIDS consume it — before either system deploys to GovCloud West.</w:t>
      </w:r>
    </w:p>
    <w:p>
      <w:pPr>
        <w:spacing w:after="200"/>
      </w:pPr>
      <w:r>
        <w:rPr>
          <w:sz w:val="22"/>
          <w:szCs w:val="22"/>
          <w:rFonts w:ascii="Arial, sans-serif" w:cs="Arial, sans-serif" w:eastAsia="Arial, sans-serif" w:hAnsi="Arial, sans-serif"/>
        </w:rPr>
        <w:t xml:space="preserve">Once two GovCloud-approved binaries diverge, reconciling them requires re-approval of both. The cost of doing this now is weeks. The cost of doing it after GovCloud is months plus a compliance re-review. That single sequencing decision is the difference between a clean shared platform and a permanent stove-pipe.</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Appendix A — Reference file paths</w:t>
      </w:r>
    </w:p>
    <w:p>
      <w:pPr>
        <w:pStyle w:val="Heading3"/>
        <w:spacing w:before="240" w:after="120"/>
      </w:pPr>
      <w:r>
        <w:rPr>
          <w:b/>
          <w:bCs/>
          <w:color w:val="1F4E79"/>
          <w:sz w:val="24"/>
          <w:szCs w:val="24"/>
          <w:rFonts w:ascii="Arial, sans-serif" w:cs="Arial, sans-serif" w:eastAsia="Arial, sans-serif" w:hAnsi="Arial, sans-serif"/>
        </w:rPr>
        <w:t xml:space="preserve">AskEIDS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C:\Projects\AskEIDS\server\src\lib\aws\bedrockText.js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C:\Projects\AskEIDS\server\src\lib\aws\titanEmbeddings.js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C:\Projects\AskEIDS\server\src\lib\aws\bedrockCompliance.js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C:\Projects\AskEIDS\server\src\config\runtime.js (default region us-gov-west-1, points at ADC for credential discovery)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C:\Projects\AskEIDS\server\src\config\env.js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C:\Projects\AskEIDS\server\src\app.js (mock auth lives here today)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C:\Projects\AskEIDS\shared\artifactTypes.js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C:\Projects\AskEIDS\server\src\rag\prototypeDuckDbStore.js</w:t>
      </w:r>
    </w:p>
    <w:p>
      <w:pPr>
        <w:pStyle w:val="Heading3"/>
        <w:spacing w:before="240" w:after="120"/>
      </w:pPr>
      <w:r>
        <w:rPr>
          <w:b/>
          <w:bCs/>
          <w:color w:val="1F4E79"/>
          <w:sz w:val="24"/>
          <w:szCs w:val="24"/>
          <w:rFonts w:ascii="Arial, sans-serif" w:cs="Arial, sans-serif" w:eastAsia="Arial, sans-serif" w:hAnsi="Arial, sans-serif"/>
        </w:rPr>
        <w:t xml:space="preserve">Agentic Data Catalog (NoDocker)</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C:\Projects\AgenticDataCatalog-NoDocker\shared\src\bedrockCompliance.js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C:\Projects\AgenticDataCatalog-NoDocker\shared\src\vectorStore.js + shared\src\vectorStores\{faiss,knowledgeBases,mock}.js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C:\Projects\AgenticDataCatalog-NoDocker\shared\src\auth.js, shared\src\roles.js, shared\src\logger.js, shared\src\env.js, shared\src\docsArtifactGovernance.js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C:\Projects\AgenticDataCatalog-NoDocker\services\agent\src\bedrock.js, services\agent\src\embeddings.js, services\agent\src\config.js, services\agent\src\rag.js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C:\Projects\AgenticDataCatalog-NoDocker\services\agent\src\middleware\auth.js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C:\Projects\AgenticDataCatalog-NoDocker\shared\src\schemas\agent-schema-sqlserver.sql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C:\Projects\AgenticDataCatalog-NoDocker\openapi\agent.yaml, openapi\coordinator.yaml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C:\Projects\AgenticDataCatalog-NoDocker\infra\cloudformation\staging2.yaml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C:\Projects\AgenticDataCatalog-NoDocker\DockerMigration\20260303-144658-CODEX-01-Target-Architecture.md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C:\Projects\AgenticDataCatalog-NoDocker\DockerMigration\CyberHardening\ (STIG/SRG assessments already completed)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C:\Projects\AgenticDataCatalog-NoDocker\.env.aws.example</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Appendix B — Glossary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Stove-pipe: a system built in isolation that duplicates capabilities available elsewhere and does not integrate cleanly with its peers. The primary risk in deploying two AWS GovCloud products without a shared foundation.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Kernel: a Domain-Driven Design pattern where two bounded contexts agree to share a specific subset of the domain model and supporting code, versioned and owned jointly.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Ports &amp; Adapters (Hexagonal Architecture): domain code depends on abstract interfaces (ports); concrete implementations (adapters) are swappable and live outside the domain.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Contract-First API: service interfaces are defined by a machine-readable specification (OpenAPI, JSON Schema) before code is written; implementations and clients are generated or validated against the spec.</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ADR (Architecture Decision Record): a short, dated, numbered document that captures a single architectural decision, its context, and its consequences. Kept in the repo and referenced when the decision is revisited.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ptos Display" w:cs="Aptos Display" w:eastAsia="Aptos Display" w:hAnsi="Aptos Display"/>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b/>
      <w:bCs/>
      <w:color w:val="1F4E79"/>
      <w:sz w:val="32"/>
      <w:szCs w:val="32"/>
      <w:rFonts w:ascii="Aptos Display" w:cs="Aptos Display" w:eastAsia="Aptos Display" w:hAnsi="Aptos Display"/>
    </w:rPr>
  </w:style>
  <w:style w:type="paragraph" w:styleId="Heading2">
    <w:name w:val="Heading 2"/>
    <w:basedOn w:val="Normal"/>
    <w:next w:val="Normal"/>
    <w:qFormat/>
    <w:pPr>
      <w:spacing w:before="280" w:after="160"/>
    </w:pPr>
    <w:rPr>
      <w:b/>
      <w:bCs/>
      <w:color w:val="2E75B6"/>
      <w:sz w:val="26"/>
      <w:szCs w:val="26"/>
      <w:rFonts w:ascii="Aptos Display" w:cs="Aptos Display" w:eastAsia="Aptos Display" w:hAnsi="Aptos Display"/>
    </w:rPr>
  </w:style>
  <w:style w:type="paragraph" w:styleId="Heading3">
    <w:name w:val="Heading 3"/>
    <w:basedOn w:val="Normal"/>
    <w:next w:val="Normal"/>
    <w:qFormat/>
    <w:pPr>
      <w:spacing w:before="240" w:after="120"/>
    </w:pPr>
    <w:rPr>
      <w:b/>
      <w:bCs/>
      <w:color w:val="1F4E79"/>
      <w:sz w:val="24"/>
      <w:szCs w:val="24"/>
      <w:rFonts w:ascii="Aptos Display" w:cs="Aptos Display" w:eastAsia="Aptos Display" w:hAnsi="Aptos Display"/>
    </w:rPr>
  </w:style>
  <w:style w:type="paragraph" w:styleId="Heading4">
    <w:name w:val="Heading 4"/>
    <w:basedOn w:val="Normal"/>
    <w:next w:val="Normal"/>
    <w:qFormat/>
    <w:pPr>
      <w:spacing w:before="200" w:after="100"/>
    </w:pPr>
    <w:rPr>
      <w:b/>
      <w:bCs/>
      <w:color w:val="2E75B6"/>
      <w:sz w:val="22"/>
      <w:szCs w:val="22"/>
      <w:rFonts w:ascii="Aptos Display" w:cs="Aptos Display" w:eastAsia="Aptos Display" w:hAnsi="Aptos Display"/>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2026-04-16T18:41:11.545Z</dcterms:created>
  <dcterms:modified xsi:type="dcterms:W3CDTF">2026-04-16T18:41:11.545Z</dcterms:modified>
</cp:coreProperties>
</file>

<file path=docProps/custom.xml><?xml version="1.0" encoding="utf-8"?>
<Properties xmlns="http://schemas.openxmlformats.org/officeDocument/2006/custom-properties" xmlns:vt="http://schemas.openxmlformats.org/officeDocument/2006/docPropsVTypes"/>
</file>