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D77C" w14:textId="701E880E" w:rsid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Incident and Intrusion Response Quiz</w:t>
      </w:r>
    </w:p>
    <w:p w14:paraId="0DF1A036" w14:textId="3E50310D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(1 point)</w:t>
      </w:r>
    </w:p>
    <w:p w14:paraId="3DA7E0E0" w14:textId="33B15AEB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An event is any observable occurrence in a system or network.</w:t>
      </w:r>
    </w:p>
    <w:p w14:paraId="6C6AC478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Adverse events are events with a negative consequence, such as system crashes, packet floods, unauthorized use of system privileges, unauthorized access to sensitive data, and execution of malware that destroys data. </w:t>
      </w:r>
    </w:p>
    <w:p w14:paraId="57001A4A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A computer security incident is a violation or imminent threat of violation of computer security policies, acceptable use policies, or standard security practices.</w:t>
      </w:r>
    </w:p>
    <w:p w14:paraId="39FD7BE6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Which of the following describes an event?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29A502B8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A063" w14:textId="14DECD95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9A85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275" type="#_x0000_t75" style="width:20.15pt;height:18pt" o:ole="">
                  <v:imagedata r:id="rId4" o:title=""/>
                </v:shape>
                <w:control r:id="rId5" w:name="DefaultOcxName" w:shapeid="_x0000_i3275"/>
              </w:object>
            </w:r>
          </w:p>
        </w:tc>
        <w:tc>
          <w:tcPr>
            <w:tcW w:w="4719" w:type="pct"/>
            <w:vAlign w:val="center"/>
            <w:hideMark/>
          </w:tcPr>
          <w:p w14:paraId="4BE4F558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An attacker obtains sensitive data and threatens that the details will be released publicly if the organization does not pay a designated sum of money.</w:t>
            </w:r>
          </w:p>
        </w:tc>
      </w:tr>
      <w:tr w:rsidR="002B4B63" w:rsidRPr="002B4B63" w14:paraId="4F4353BE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06D7" w14:textId="3418A5BA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08BF7C">
                <v:shape id="_x0000_i3274" type="#_x0000_t75" style="width:20.15pt;height:18pt" o:ole="">
                  <v:imagedata r:id="rId4" o:title=""/>
                </v:shape>
                <w:control r:id="rId6" w:name="DefaultOcxName1" w:shapeid="_x0000_i3274"/>
              </w:object>
            </w:r>
          </w:p>
        </w:tc>
        <w:tc>
          <w:tcPr>
            <w:tcW w:w="4719" w:type="pct"/>
            <w:vAlign w:val="center"/>
            <w:hideMark/>
          </w:tcPr>
          <w:p w14:paraId="77213035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user provides or exposes sensitive information to others through peer-to-peer file sharing services.</w:t>
            </w:r>
          </w:p>
        </w:tc>
      </w:tr>
      <w:tr w:rsidR="002B4B63" w:rsidRPr="002B4B63" w14:paraId="7A8335C7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8ED7" w14:textId="69FC5CD4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A6B124">
                <v:shape id="_x0000_i3276" type="#_x0000_t75" style="width:20.15pt;height:18pt" o:ole="">
                  <v:imagedata r:id="rId7" o:title=""/>
                </v:shape>
                <w:control r:id="rId8" w:name="DefaultOcxName2" w:shapeid="_x0000_i3276"/>
              </w:object>
            </w:r>
          </w:p>
        </w:tc>
        <w:tc>
          <w:tcPr>
            <w:tcW w:w="4719" w:type="pct"/>
            <w:vAlign w:val="center"/>
            <w:hideMark/>
          </w:tcPr>
          <w:p w14:paraId="7BA4C0BE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user connecting to a file share</w:t>
            </w:r>
          </w:p>
        </w:tc>
      </w:tr>
      <w:tr w:rsidR="002B4B63" w:rsidRPr="002B4B63" w14:paraId="78D38A2A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FDC5" w14:textId="7FC05F3D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E69BA8">
                <v:shape id="_x0000_i3272" type="#_x0000_t75" style="width:20.15pt;height:18pt" o:ole="">
                  <v:imagedata r:id="rId4" o:title=""/>
                </v:shape>
                <w:control r:id="rId9" w:name="DefaultOcxName3" w:shapeid="_x0000_i3272"/>
              </w:object>
            </w:r>
          </w:p>
        </w:tc>
        <w:tc>
          <w:tcPr>
            <w:tcW w:w="4719" w:type="pct"/>
            <w:vAlign w:val="center"/>
            <w:hideMark/>
          </w:tcPr>
          <w:p w14:paraId="6BBE2663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An attacker commands a botnet to send high volumes of connection requests to a web server, causing it to crash.</w:t>
            </w:r>
          </w:p>
        </w:tc>
      </w:tr>
    </w:tbl>
    <w:p w14:paraId="6668642B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q569817"/>
      <w:bookmarkEnd w:id="0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 (1 point)</w:t>
      </w:r>
    </w:p>
    <w:p w14:paraId="659431F3" w14:textId="15B3A116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 Signs of an incident fall into one of two categories: precursors and indicators. A precursor is a sign that an incident may occur in the future. An indicator is a sign that an incident may have occurred or may be occurring now.</w:t>
      </w:r>
    </w:p>
    <w:p w14:paraId="06C4247C" w14:textId="0FAF7700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Which of the following is an example of an indicator?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2B4B63" w:rsidRPr="002B4B63" w14:paraId="3C7ECBED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6238" w14:textId="375ADBDC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EE2CE2">
                <v:shape id="_x0000_i3271" type="#_x0000_t75" style="width:20.15pt;height:18pt" o:ole="">
                  <v:imagedata r:id="rId4" o:title=""/>
                </v:shape>
                <w:control r:id="rId10" w:name="DefaultOcxName4" w:shapeid="_x0000_i3271"/>
              </w:object>
            </w:r>
          </w:p>
        </w:tc>
        <w:tc>
          <w:tcPr>
            <w:tcW w:w="5000" w:type="pct"/>
            <w:vAlign w:val="center"/>
            <w:hideMark/>
          </w:tcPr>
          <w:p w14:paraId="159CD407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Web server log entries that show the usage of a vulnerability scanner</w:t>
            </w:r>
          </w:p>
        </w:tc>
      </w:tr>
      <w:tr w:rsidR="002B4B63" w:rsidRPr="002B4B63" w14:paraId="75DB9527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207D8" w14:textId="41DC4771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3CC46D">
                <v:shape id="_x0000_i3270" type="#_x0000_t75" style="width:20.15pt;height:18pt" o:ole="">
                  <v:imagedata r:id="rId4" o:title=""/>
                </v:shape>
                <w:control r:id="rId11" w:name="DefaultOcxName5" w:shapeid="_x0000_i3270"/>
              </w:object>
            </w:r>
          </w:p>
        </w:tc>
        <w:tc>
          <w:tcPr>
            <w:tcW w:w="5000" w:type="pct"/>
            <w:vAlign w:val="center"/>
            <w:hideMark/>
          </w:tcPr>
          <w:p w14:paraId="36D3C93A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threat from a group stating that the group will attack the organization.</w:t>
            </w:r>
          </w:p>
        </w:tc>
      </w:tr>
      <w:tr w:rsidR="002B4B63" w:rsidRPr="002B4B63" w14:paraId="1BCE0159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E644" w14:textId="67F85D5B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4870C7">
                <v:shape id="_x0000_i3269" type="#_x0000_t75" style="width:20.15pt;height:18pt" o:ole="">
                  <v:imagedata r:id="rId4" o:title=""/>
                </v:shape>
                <w:control r:id="rId12" w:name="DefaultOcxName6" w:shapeid="_x0000_i3269"/>
              </w:object>
            </w:r>
          </w:p>
        </w:tc>
        <w:tc>
          <w:tcPr>
            <w:tcW w:w="5000" w:type="pct"/>
            <w:vAlign w:val="center"/>
            <w:hideMark/>
          </w:tcPr>
          <w:p w14:paraId="0B8F842A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An announcement of a new exploit that targets a vulnerability of the organization’s mail server</w:t>
            </w:r>
          </w:p>
        </w:tc>
      </w:tr>
      <w:tr w:rsidR="002B4B63" w:rsidRPr="002B4B63" w14:paraId="2AEAF0D0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6EC0" w14:textId="22290BF0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1B3A57">
                <v:shape id="_x0000_i3302" type="#_x0000_t75" style="width:20.15pt;height:18pt" o:ole="">
                  <v:imagedata r:id="rId7" o:title=""/>
                </v:shape>
                <w:control r:id="rId13" w:name="DefaultOcxName7" w:shapeid="_x0000_i3302"/>
              </w:object>
            </w:r>
          </w:p>
        </w:tc>
        <w:tc>
          <w:tcPr>
            <w:tcW w:w="5000" w:type="pct"/>
            <w:vAlign w:val="center"/>
            <w:hideMark/>
          </w:tcPr>
          <w:p w14:paraId="7CA39729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intrusion detection sensor alerts when a buffer overflow attempt occurs against a database server.</w:t>
            </w:r>
          </w:p>
        </w:tc>
      </w:tr>
    </w:tbl>
    <w:p w14:paraId="12252B37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q569815"/>
      <w:bookmarkEnd w:id="1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 (1 point)</w:t>
      </w:r>
    </w:p>
    <w:p w14:paraId="36F793AE" w14:textId="77777777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E9449D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lastRenderedPageBreak/>
        <w:t>The incident response life cycle consists of 4 major phases. Which of the following is the correct order for these phases?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1C55DA73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EE9A" w14:textId="1E2BB029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99F059">
                <v:shape id="_x0000_i3267" type="#_x0000_t75" style="width:20.15pt;height:18pt" o:ole="">
                  <v:imagedata r:id="rId4" o:title=""/>
                </v:shape>
                <w:control r:id="rId14" w:name="DefaultOcxName8" w:shapeid="_x0000_i3267"/>
              </w:object>
            </w:r>
          </w:p>
        </w:tc>
        <w:tc>
          <w:tcPr>
            <w:tcW w:w="4719" w:type="pct"/>
            <w:vAlign w:val="center"/>
            <w:hideMark/>
          </w:tcPr>
          <w:p w14:paraId="79B47E15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and Analysis, Preparation,  Containment Eradication and Recovery, Post-incident Activity</w:t>
            </w:r>
          </w:p>
        </w:tc>
      </w:tr>
      <w:tr w:rsidR="002B4B63" w:rsidRPr="002B4B63" w14:paraId="51C5F99C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3A22" w14:textId="11FF2B99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A670E2">
                <v:shape id="_x0000_i3266" type="#_x0000_t75" style="width:20.15pt;height:18pt" o:ole="">
                  <v:imagedata r:id="rId4" o:title=""/>
                </v:shape>
                <w:control r:id="rId15" w:name="DefaultOcxName9" w:shapeid="_x0000_i3266"/>
              </w:object>
            </w:r>
          </w:p>
        </w:tc>
        <w:tc>
          <w:tcPr>
            <w:tcW w:w="4719" w:type="pct"/>
            <w:vAlign w:val="center"/>
            <w:hideMark/>
          </w:tcPr>
          <w:p w14:paraId="3184E15A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Preparation, Containment Eradication and Recovery, Detection and Analysis, Post-incident Activity</w:t>
            </w:r>
          </w:p>
        </w:tc>
      </w:tr>
      <w:tr w:rsidR="002B4B63" w:rsidRPr="002B4B63" w14:paraId="3F153F1E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AD30" w14:textId="6F7A47FC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454CD1">
                <v:shape id="_x0000_i3265" type="#_x0000_t75" style="width:20.15pt;height:18pt" o:ole="">
                  <v:imagedata r:id="rId4" o:title=""/>
                </v:shape>
                <w:control r:id="rId16" w:name="DefaultOcxName10" w:shapeid="_x0000_i3265"/>
              </w:object>
            </w:r>
          </w:p>
        </w:tc>
        <w:tc>
          <w:tcPr>
            <w:tcW w:w="4719" w:type="pct"/>
            <w:vAlign w:val="center"/>
            <w:hideMark/>
          </w:tcPr>
          <w:p w14:paraId="7BD1EA44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Preparation, Detection and Analysis, Post-incident Activity, Containment Eradication and Recovery</w:t>
            </w:r>
          </w:p>
        </w:tc>
      </w:tr>
      <w:tr w:rsidR="002B4B63" w:rsidRPr="002B4B63" w14:paraId="6CB85EF6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4B06" w14:textId="06E6961E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A0C90A">
                <v:shape id="_x0000_i3303" type="#_x0000_t75" style="width:20.15pt;height:18pt" o:ole="">
                  <v:imagedata r:id="rId7" o:title=""/>
                </v:shape>
                <w:control r:id="rId17" w:name="DefaultOcxName11" w:shapeid="_x0000_i3303"/>
              </w:object>
            </w:r>
          </w:p>
        </w:tc>
        <w:tc>
          <w:tcPr>
            <w:tcW w:w="4719" w:type="pct"/>
            <w:vAlign w:val="center"/>
            <w:hideMark/>
          </w:tcPr>
          <w:p w14:paraId="3E01F8F3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Preparation, Detection and Analysis, Containment Eradication and Recovery, Post-incident Activity</w:t>
            </w:r>
          </w:p>
        </w:tc>
      </w:tr>
    </w:tbl>
    <w:p w14:paraId="781FF7A7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q569464"/>
      <w:bookmarkEnd w:id="2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 (1 point)</w:t>
      </w:r>
    </w:p>
    <w:p w14:paraId="4FCC5FF7" w14:textId="313CC9F6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 An event is any observable occurrence in a system or network.</w:t>
      </w:r>
    </w:p>
    <w:p w14:paraId="6E8A6D28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Adverse events are events with a negative consequence, such as system crashes, packet floods, unauthorized use of system privileges, unauthorized access to sensitive data, and execution of malware that destroys data. </w:t>
      </w:r>
    </w:p>
    <w:p w14:paraId="4F8A7CFC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A computer security incident is a violation or imminent threat of violation of computer security policies, acceptable use policies, or standard security practices.</w:t>
      </w:r>
    </w:p>
    <w:p w14:paraId="0EE9A74B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Which of the following describes an incident?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3C86DF31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0DAA" w14:textId="4B759561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4D59AD">
                <v:shape id="_x0000_i3263" type="#_x0000_t75" style="width:20.15pt;height:18pt" o:ole="">
                  <v:imagedata r:id="rId4" o:title=""/>
                </v:shape>
                <w:control r:id="rId18" w:name="DefaultOcxName12" w:shapeid="_x0000_i3263"/>
              </w:object>
            </w:r>
          </w:p>
        </w:tc>
        <w:tc>
          <w:tcPr>
            <w:tcW w:w="4719" w:type="pct"/>
            <w:vAlign w:val="center"/>
            <w:hideMark/>
          </w:tcPr>
          <w:p w14:paraId="11531CDC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server receiving a request for a web page.</w:t>
            </w:r>
          </w:p>
        </w:tc>
      </w:tr>
      <w:tr w:rsidR="002B4B63" w:rsidRPr="002B4B63" w14:paraId="0529B5AF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2847" w14:textId="303A6FF0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7621E8">
                <v:shape id="_x0000_i3262" type="#_x0000_t75" style="width:20.15pt;height:18pt" o:ole="">
                  <v:imagedata r:id="rId4" o:title=""/>
                </v:shape>
                <w:control r:id="rId19" w:name="DefaultOcxName13" w:shapeid="_x0000_i3262"/>
              </w:object>
            </w:r>
          </w:p>
        </w:tc>
        <w:tc>
          <w:tcPr>
            <w:tcW w:w="4719" w:type="pct"/>
            <w:vAlign w:val="center"/>
            <w:hideMark/>
          </w:tcPr>
          <w:p w14:paraId="686EFE96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a user sending email.</w:t>
            </w:r>
          </w:p>
        </w:tc>
      </w:tr>
      <w:tr w:rsidR="002B4B63" w:rsidRPr="002B4B63" w14:paraId="546D0145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B159" w14:textId="24DFE608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FF95DF">
                <v:shape id="_x0000_i3261" type="#_x0000_t75" style="width:20.15pt;height:18pt" o:ole="">
                  <v:imagedata r:id="rId4" o:title=""/>
                </v:shape>
                <w:control r:id="rId20" w:name="DefaultOcxName14" w:shapeid="_x0000_i3261"/>
              </w:object>
            </w:r>
          </w:p>
        </w:tc>
        <w:tc>
          <w:tcPr>
            <w:tcW w:w="4719" w:type="pct"/>
            <w:vAlign w:val="center"/>
            <w:hideMark/>
          </w:tcPr>
          <w:p w14:paraId="233F74B5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firewall blocking a connection attempt.</w:t>
            </w:r>
          </w:p>
        </w:tc>
      </w:tr>
      <w:tr w:rsidR="002B4B63" w:rsidRPr="002B4B63" w14:paraId="610722FF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92C6" w14:textId="234C8958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258EFC">
                <v:shape id="_x0000_i3354" type="#_x0000_t75" style="width:20.15pt;height:18pt" o:ole="">
                  <v:imagedata r:id="rId7" o:title=""/>
                </v:shape>
                <w:control r:id="rId21" w:name="DefaultOcxName15" w:shapeid="_x0000_i3354"/>
              </w:object>
            </w:r>
          </w:p>
        </w:tc>
        <w:tc>
          <w:tcPr>
            <w:tcW w:w="4719" w:type="pct"/>
            <w:vAlign w:val="center"/>
            <w:hideMark/>
          </w:tcPr>
          <w:p w14:paraId="66C9A68B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tricked into opening a “quarterly report” sent via email that is actually malware; running the tool has infected their computers and established connections with an external host.</w:t>
            </w:r>
          </w:p>
        </w:tc>
      </w:tr>
    </w:tbl>
    <w:p w14:paraId="69D67E2E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q569816"/>
      <w:bookmarkEnd w:id="3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 (1 point)</w:t>
      </w:r>
    </w:p>
    <w:p w14:paraId="592701E8" w14:textId="3C81F76B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Signs of an incident fall into one of two categories: precursors and indicators. A precursor is a sign that an incident may occur in the future. An indicator is a sign that an incident may have occurred or may be occurring now.</w:t>
      </w:r>
    </w:p>
    <w:p w14:paraId="4881054F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Which of the following is an example of a precursor?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177D3631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8DC59" w14:textId="5A4FCCF0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EB46DE">
                <v:shape id="_x0000_i3380" type="#_x0000_t75" style="width:20.15pt;height:18pt" o:ole="">
                  <v:imagedata r:id="rId7" o:title=""/>
                </v:shape>
                <w:control r:id="rId22" w:name="DefaultOcxName16" w:shapeid="_x0000_i3380"/>
              </w:object>
            </w:r>
          </w:p>
        </w:tc>
        <w:tc>
          <w:tcPr>
            <w:tcW w:w="4719" w:type="pct"/>
            <w:vAlign w:val="center"/>
            <w:hideMark/>
          </w:tcPr>
          <w:p w14:paraId="33F9F6C8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threat from a group stating that the group will attack the organization.</w:t>
            </w:r>
          </w:p>
        </w:tc>
      </w:tr>
      <w:tr w:rsidR="002B4B63" w:rsidRPr="002B4B63" w14:paraId="00D7357F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BFFB" w14:textId="546A299C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0A8D04">
                <v:shape id="_x0000_i3258" type="#_x0000_t75" style="width:20.15pt;height:18pt" o:ole="">
                  <v:imagedata r:id="rId4" o:title=""/>
                </v:shape>
                <w:control r:id="rId23" w:name="DefaultOcxName17" w:shapeid="_x0000_i3258"/>
              </w:object>
            </w:r>
          </w:p>
        </w:tc>
        <w:tc>
          <w:tcPr>
            <w:tcW w:w="4719" w:type="pct"/>
            <w:vAlign w:val="center"/>
            <w:hideMark/>
          </w:tcPr>
          <w:p w14:paraId="1A95D348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Antivirus software alerts when it detects that a host is infected with malware.</w:t>
            </w:r>
          </w:p>
        </w:tc>
      </w:tr>
      <w:tr w:rsidR="002B4B63" w:rsidRPr="002B4B63" w14:paraId="1E980BDA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EF6C" w14:textId="211BE22C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1D0882E">
                <v:shape id="_x0000_i3257" type="#_x0000_t75" style="width:20.15pt;height:18pt" o:ole="">
                  <v:imagedata r:id="rId4" o:title=""/>
                </v:shape>
                <w:control r:id="rId24" w:name="DefaultOcxName18" w:shapeid="_x0000_i3257"/>
              </w:object>
            </w:r>
          </w:p>
        </w:tc>
        <w:tc>
          <w:tcPr>
            <w:tcW w:w="4719" w:type="pct"/>
            <w:vAlign w:val="center"/>
            <w:hideMark/>
          </w:tcPr>
          <w:p w14:paraId="3F8CFB78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host records an auditing configuration change in its log</w:t>
            </w:r>
          </w:p>
        </w:tc>
      </w:tr>
      <w:tr w:rsidR="002B4B63" w:rsidRPr="002B4B63" w14:paraId="549C0DD7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7B31" w14:textId="5245A509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050940">
                <v:shape id="_x0000_i3256" type="#_x0000_t75" style="width:20.15pt;height:18pt" o:ole="">
                  <v:imagedata r:id="rId4" o:title=""/>
                </v:shape>
                <w:control r:id="rId25" w:name="DefaultOcxName19" w:shapeid="_x0000_i3256"/>
              </w:object>
            </w:r>
          </w:p>
        </w:tc>
        <w:tc>
          <w:tcPr>
            <w:tcW w:w="4719" w:type="pct"/>
            <w:vAlign w:val="center"/>
            <w:hideMark/>
          </w:tcPr>
          <w:p w14:paraId="3581EE34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intrusion detection sensor alerts when a buffer overflow attempt occurs against a database server.</w:t>
            </w:r>
          </w:p>
        </w:tc>
      </w:tr>
    </w:tbl>
    <w:p w14:paraId="01CBDFDB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q569819"/>
      <w:bookmarkEnd w:id="4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 (1 point)</w:t>
      </w:r>
    </w:p>
    <w:p w14:paraId="06F6F662" w14:textId="4275F92A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 Which of the following are common sources of indicators and precursors?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7D10E52D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3088" w14:textId="5543F86B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40D376">
                <v:shape id="_x0000_i3255" type="#_x0000_t75" style="width:20.15pt;height:18pt" o:ole="">
                  <v:imagedata r:id="rId4" o:title=""/>
                </v:shape>
                <w:control r:id="rId26" w:name="DefaultOcxName20" w:shapeid="_x0000_i3255"/>
              </w:object>
            </w:r>
          </w:p>
        </w:tc>
        <w:tc>
          <w:tcPr>
            <w:tcW w:w="4719" w:type="pct"/>
            <w:vAlign w:val="center"/>
            <w:hideMark/>
          </w:tcPr>
          <w:p w14:paraId="2AA7A926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IDPs and IDSs</w:t>
            </w:r>
          </w:p>
        </w:tc>
      </w:tr>
      <w:tr w:rsidR="002B4B63" w:rsidRPr="002B4B63" w14:paraId="1EE8C7AC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EF67" w14:textId="4D25F424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FD2F55">
                <v:shape id="_x0000_i3254" type="#_x0000_t75" style="width:20.15pt;height:18pt" o:ole="">
                  <v:imagedata r:id="rId4" o:title=""/>
                </v:shape>
                <w:control r:id="rId27" w:name="DefaultOcxName21" w:shapeid="_x0000_i3254"/>
              </w:object>
            </w:r>
          </w:p>
        </w:tc>
        <w:tc>
          <w:tcPr>
            <w:tcW w:w="4719" w:type="pct"/>
            <w:vAlign w:val="center"/>
            <w:hideMark/>
          </w:tcPr>
          <w:p w14:paraId="65D1063A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SIEMs</w:t>
            </w:r>
          </w:p>
        </w:tc>
      </w:tr>
      <w:tr w:rsidR="002B4B63" w:rsidRPr="002B4B63" w14:paraId="1EF39819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DAD6" w14:textId="21DCB6E5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0DA512">
                <v:shape id="_x0000_i3253" type="#_x0000_t75" style="width:20.15pt;height:18pt" o:ole="">
                  <v:imagedata r:id="rId4" o:title=""/>
                </v:shape>
                <w:control r:id="rId28" w:name="DefaultOcxName22" w:shapeid="_x0000_i3253"/>
              </w:object>
            </w:r>
          </w:p>
        </w:tc>
        <w:tc>
          <w:tcPr>
            <w:tcW w:w="4719" w:type="pct"/>
            <w:vAlign w:val="center"/>
            <w:hideMark/>
          </w:tcPr>
          <w:p w14:paraId="4A183D47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Logs and CVEs</w:t>
            </w:r>
          </w:p>
        </w:tc>
      </w:tr>
      <w:tr w:rsidR="002B4B63" w:rsidRPr="002B4B63" w14:paraId="3ACF456E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EBF9E" w14:textId="17518F7A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829189">
                <v:shape id="_x0000_i3420" type="#_x0000_t75" style="width:20.15pt;height:18pt" o:ole="">
                  <v:imagedata r:id="rId7" o:title=""/>
                </v:shape>
                <w:control r:id="rId29" w:name="DefaultOcxName23" w:shapeid="_x0000_i3420"/>
              </w:object>
            </w:r>
          </w:p>
        </w:tc>
        <w:tc>
          <w:tcPr>
            <w:tcW w:w="4719" w:type="pct"/>
            <w:vAlign w:val="center"/>
            <w:hideMark/>
          </w:tcPr>
          <w:p w14:paraId="70A9BD47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  <w:tr w:rsidR="002B4B63" w:rsidRPr="002B4B63" w14:paraId="3A29B66D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6873" w14:textId="7F9A446F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160120">
                <v:shape id="_x0000_i3251" type="#_x0000_t75" style="width:20.15pt;height:18pt" o:ole="">
                  <v:imagedata r:id="rId4" o:title=""/>
                </v:shape>
                <w:control r:id="rId30" w:name="DefaultOcxName24" w:shapeid="_x0000_i3251"/>
              </w:object>
            </w:r>
          </w:p>
        </w:tc>
        <w:tc>
          <w:tcPr>
            <w:tcW w:w="4719" w:type="pct"/>
            <w:vAlign w:val="center"/>
            <w:hideMark/>
          </w:tcPr>
          <w:p w14:paraId="7D5ED54C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6D484A23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q569814"/>
      <w:bookmarkEnd w:id="5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 (1 point)</w:t>
      </w:r>
    </w:p>
    <w:p w14:paraId="073AD6C7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Which of the following departments, among others in an organization, should be represented in the incident response team?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77B11FFE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66AF" w14:textId="7C9F7A25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35DF9F">
                <v:shape id="_x0000_i3250" type="#_x0000_t75" style="width:20.15pt;height:18pt" o:ole="">
                  <v:imagedata r:id="rId4" o:title=""/>
                </v:shape>
                <w:control r:id="rId31" w:name="DefaultOcxName25" w:shapeid="_x0000_i3250"/>
              </w:object>
            </w:r>
          </w:p>
        </w:tc>
        <w:tc>
          <w:tcPr>
            <w:tcW w:w="4719" w:type="pct"/>
            <w:vAlign w:val="center"/>
            <w:hideMark/>
          </w:tcPr>
          <w:p w14:paraId="494F064A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</w:tr>
      <w:tr w:rsidR="002B4B63" w:rsidRPr="002B4B63" w14:paraId="43329088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4EAE" w14:textId="79A95A37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D0BD0A">
                <v:shape id="_x0000_i3249" type="#_x0000_t75" style="width:20.15pt;height:18pt" o:ole="">
                  <v:imagedata r:id="rId4" o:title=""/>
                </v:shape>
                <w:control r:id="rId32" w:name="DefaultOcxName26" w:shapeid="_x0000_i3249"/>
              </w:object>
            </w:r>
          </w:p>
        </w:tc>
        <w:tc>
          <w:tcPr>
            <w:tcW w:w="4719" w:type="pct"/>
            <w:vAlign w:val="center"/>
            <w:hideMark/>
          </w:tcPr>
          <w:p w14:paraId="6F484957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Legal Department</w:t>
            </w:r>
          </w:p>
        </w:tc>
      </w:tr>
      <w:tr w:rsidR="002B4B63" w:rsidRPr="002B4B63" w14:paraId="36C0C617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F8A0D" w14:textId="06C9783B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F10026">
                <v:shape id="_x0000_i3248" type="#_x0000_t75" style="width:20.15pt;height:18pt" o:ole="">
                  <v:imagedata r:id="rId4" o:title=""/>
                </v:shape>
                <w:control r:id="rId33" w:name="DefaultOcxName27" w:shapeid="_x0000_i3248"/>
              </w:object>
            </w:r>
          </w:p>
        </w:tc>
        <w:tc>
          <w:tcPr>
            <w:tcW w:w="4719" w:type="pct"/>
            <w:vAlign w:val="center"/>
            <w:hideMark/>
          </w:tcPr>
          <w:p w14:paraId="6BBFC3A0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Resources</w:t>
            </w:r>
          </w:p>
        </w:tc>
      </w:tr>
      <w:tr w:rsidR="002B4B63" w:rsidRPr="002B4B63" w14:paraId="03465DB8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28AA" w14:textId="449318F2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99F91A3">
                <v:shape id="_x0000_i3460" type="#_x0000_t75" style="width:20.15pt;height:18pt" o:ole="">
                  <v:imagedata r:id="rId7" o:title=""/>
                </v:shape>
                <w:control r:id="rId34" w:name="DefaultOcxName28" w:shapeid="_x0000_i3460"/>
              </w:object>
            </w:r>
          </w:p>
        </w:tc>
        <w:tc>
          <w:tcPr>
            <w:tcW w:w="4719" w:type="pct"/>
            <w:vAlign w:val="center"/>
            <w:hideMark/>
          </w:tcPr>
          <w:p w14:paraId="6230C019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  <w:tr w:rsidR="002B4B63" w:rsidRPr="002B4B63" w14:paraId="099D7C31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61F21" w14:textId="679C40A6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A30045">
                <v:shape id="_x0000_i3246" type="#_x0000_t75" style="width:20.15pt;height:18pt" o:ole="">
                  <v:imagedata r:id="rId4" o:title=""/>
                </v:shape>
                <w:control r:id="rId35" w:name="DefaultOcxName29" w:shapeid="_x0000_i3246"/>
              </w:object>
            </w:r>
          </w:p>
        </w:tc>
        <w:tc>
          <w:tcPr>
            <w:tcW w:w="4719" w:type="pct"/>
            <w:vAlign w:val="center"/>
            <w:hideMark/>
          </w:tcPr>
          <w:p w14:paraId="5D65132D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9B22B47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q569818"/>
      <w:bookmarkEnd w:id="6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 (1 point)</w:t>
      </w:r>
    </w:p>
    <w:p w14:paraId="2241AF81" w14:textId="1C4ED844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Signs of an incident fall into one of two categories: precursors and indicators. A precursor is a sign that an incident may occur in the future. An indicator is a sign that an incident may have occurred or may be occurring now.</w:t>
      </w:r>
    </w:p>
    <w:p w14:paraId="4CF6ADFF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True or False: While indicators are relatively rare, precursors are all too common.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5EFA9C9B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BDF5" w14:textId="6B1C86F5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4E19AD">
                <v:shape id="_x0000_i3245" type="#_x0000_t75" style="width:20.15pt;height:18pt" o:ole="">
                  <v:imagedata r:id="rId4" o:title=""/>
                </v:shape>
                <w:control r:id="rId36" w:name="DefaultOcxName30" w:shapeid="_x0000_i3245"/>
              </w:object>
            </w:r>
          </w:p>
        </w:tc>
        <w:tc>
          <w:tcPr>
            <w:tcW w:w="4719" w:type="pct"/>
            <w:vAlign w:val="center"/>
            <w:hideMark/>
          </w:tcPr>
          <w:p w14:paraId="52493ECA" w14:textId="77777777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B63" w:rsidRPr="002B4B63" w14:paraId="60D9F665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BC40" w14:textId="285DDDF3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3BEE0B">
                <v:shape id="_x0000_i3467" type="#_x0000_t75" style="width:20.15pt;height:18pt" o:ole="">
                  <v:imagedata r:id="rId7" o:title=""/>
                </v:shape>
                <w:control r:id="rId37" w:name="DefaultOcxName31" w:shapeid="_x0000_i3467"/>
              </w:object>
            </w:r>
          </w:p>
        </w:tc>
        <w:tc>
          <w:tcPr>
            <w:tcW w:w="4719" w:type="pct"/>
            <w:vAlign w:val="center"/>
            <w:hideMark/>
          </w:tcPr>
          <w:p w14:paraId="4D80CA33" w14:textId="77777777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4CE61CD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q569813"/>
      <w:bookmarkEnd w:id="7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 (1 point)</w:t>
      </w:r>
    </w:p>
    <w:p w14:paraId="1C8AB889" w14:textId="77777777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10D6290D" w14:textId="77777777" w:rsidR="002B4B63" w:rsidRPr="002B4B63" w:rsidRDefault="002B4B63" w:rsidP="002B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In ________________ structure,  a single incident response team handles incidents throughout the organization. In ___________ structure, the organization has multiple incident response teams, each responsible for a particular logical or physical segment of the organization.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790D4580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A8A86" w14:textId="51721058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2800EC">
                <v:shape id="_x0000_i3243" type="#_x0000_t75" style="width:20.15pt;height:18pt" o:ole="">
                  <v:imagedata r:id="rId4" o:title=""/>
                </v:shape>
                <w:control r:id="rId38" w:name="DefaultOcxName32" w:shapeid="_x0000_i3243"/>
              </w:object>
            </w:r>
          </w:p>
        </w:tc>
        <w:tc>
          <w:tcPr>
            <w:tcW w:w="4719" w:type="pct"/>
            <w:vAlign w:val="center"/>
            <w:hideMark/>
          </w:tcPr>
          <w:p w14:paraId="7A10FED6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Central incident response team, external incident team</w:t>
            </w:r>
          </w:p>
        </w:tc>
      </w:tr>
      <w:tr w:rsidR="002B4B63" w:rsidRPr="002B4B63" w14:paraId="3DCB4979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3477" w14:textId="7EB11E00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B85146">
                <v:shape id="_x0000_i3493" type="#_x0000_t75" style="width:20.15pt;height:18pt" o:ole="">
                  <v:imagedata r:id="rId7" o:title=""/>
                </v:shape>
                <w:control r:id="rId39" w:name="DefaultOcxName33" w:shapeid="_x0000_i3493"/>
              </w:object>
            </w:r>
          </w:p>
        </w:tc>
        <w:tc>
          <w:tcPr>
            <w:tcW w:w="4719" w:type="pct"/>
            <w:vAlign w:val="center"/>
            <w:hideMark/>
          </w:tcPr>
          <w:p w14:paraId="0D59818A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Central incident response team, distributed incident response team</w:t>
            </w:r>
          </w:p>
        </w:tc>
      </w:tr>
      <w:tr w:rsidR="002B4B63" w:rsidRPr="002B4B63" w14:paraId="1CDCC20D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8598" w14:textId="7C338C68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12C7B8">
                <v:shape id="_x0000_i3241" type="#_x0000_t75" style="width:20.15pt;height:18pt" o:ole="">
                  <v:imagedata r:id="rId4" o:title=""/>
                </v:shape>
                <w:control r:id="rId40" w:name="DefaultOcxName34" w:shapeid="_x0000_i3241"/>
              </w:object>
            </w:r>
          </w:p>
        </w:tc>
        <w:tc>
          <w:tcPr>
            <w:tcW w:w="4719" w:type="pct"/>
            <w:vAlign w:val="center"/>
            <w:hideMark/>
          </w:tcPr>
          <w:p w14:paraId="1FE7DB82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incident response team, coordinating team</w:t>
            </w:r>
          </w:p>
        </w:tc>
      </w:tr>
      <w:tr w:rsidR="002B4B63" w:rsidRPr="002B4B63" w14:paraId="6557BBE0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2C8F" w14:textId="793B282A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8496C9">
                <v:shape id="_x0000_i3240" type="#_x0000_t75" style="width:20.15pt;height:18pt" o:ole="">
                  <v:imagedata r:id="rId4" o:title=""/>
                </v:shape>
                <w:control r:id="rId41" w:name="DefaultOcxName35" w:shapeid="_x0000_i3240"/>
              </w:object>
            </w:r>
          </w:p>
        </w:tc>
        <w:tc>
          <w:tcPr>
            <w:tcW w:w="4719" w:type="pct"/>
            <w:vAlign w:val="center"/>
            <w:hideMark/>
          </w:tcPr>
          <w:p w14:paraId="007360DD" w14:textId="77777777" w:rsidR="002B4B63" w:rsidRPr="002B4B63" w:rsidRDefault="002B4B63" w:rsidP="002B4B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incident response team, central incident response team</w:t>
            </w:r>
          </w:p>
        </w:tc>
      </w:tr>
    </w:tbl>
    <w:p w14:paraId="71CF660D" w14:textId="77777777" w:rsidR="002B4B63" w:rsidRPr="002B4B63" w:rsidRDefault="002B4B63" w:rsidP="002B4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q569820"/>
      <w:bookmarkEnd w:id="8"/>
      <w:r w:rsidRPr="002B4B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 (1 point)</w:t>
      </w:r>
    </w:p>
    <w:p w14:paraId="3A732412" w14:textId="7C4BDBE4" w:rsidR="002B4B63" w:rsidRPr="002B4B63" w:rsidRDefault="002B4B63" w:rsidP="002B4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63">
        <w:rPr>
          <w:rFonts w:ascii="Times New Roman" w:eastAsia="Times New Roman" w:hAnsi="Times New Roman" w:cs="Times New Roman"/>
          <w:sz w:val="24"/>
          <w:szCs w:val="24"/>
        </w:rPr>
        <w:t>True or False. Incidents should not be handled on a first-come, first-served basis as a result of resource limitations.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6"/>
        <w:gridCol w:w="8794"/>
      </w:tblGrid>
      <w:tr w:rsidR="002B4B63" w:rsidRPr="002B4B63" w14:paraId="3782D3F3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bookmarkStart w:id="9" w:name="_GoBack"/>
          <w:p w14:paraId="00705BD2" w14:textId="6C0AE5A8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999F06">
                <v:shape id="_x0000_i3500" type="#_x0000_t75" style="width:20.15pt;height:18pt" o:ole="">
                  <v:imagedata r:id="rId7" o:title=""/>
                </v:shape>
                <w:control r:id="rId42" w:name="DefaultOcxName36" w:shapeid="_x0000_i3500"/>
              </w:object>
            </w:r>
            <w:bookmarkEnd w:id="9"/>
          </w:p>
        </w:tc>
        <w:tc>
          <w:tcPr>
            <w:tcW w:w="4719" w:type="pct"/>
            <w:vAlign w:val="center"/>
            <w:hideMark/>
          </w:tcPr>
          <w:p w14:paraId="717F30DF" w14:textId="77777777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B63" w:rsidRPr="002B4B63" w14:paraId="7FC4CB2A" w14:textId="77777777" w:rsidTr="002B4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D6BD" w14:textId="5DEDD301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76625A">
                <v:shape id="_x0000_i3238" type="#_x0000_t75" style="width:20.15pt;height:18pt" o:ole="">
                  <v:imagedata r:id="rId4" o:title=""/>
                </v:shape>
                <w:control r:id="rId43" w:name="DefaultOcxName37" w:shapeid="_x0000_i3238"/>
              </w:object>
            </w:r>
          </w:p>
        </w:tc>
        <w:tc>
          <w:tcPr>
            <w:tcW w:w="4719" w:type="pct"/>
            <w:vAlign w:val="center"/>
            <w:hideMark/>
          </w:tcPr>
          <w:p w14:paraId="617FD2BF" w14:textId="77777777" w:rsidR="002B4B63" w:rsidRPr="002B4B63" w:rsidRDefault="002B4B63" w:rsidP="002B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6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4F4011EF" w14:textId="77777777" w:rsidR="006A4F56" w:rsidRDefault="006A4F56"/>
    <w:sectPr w:rsidR="006A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63"/>
    <w:rsid w:val="002B4B63"/>
    <w:rsid w:val="006A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F56E"/>
  <w15:chartTrackingRefBased/>
  <w15:docId w15:val="{F9CABFFD-9457-4189-8FC6-80C6F167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B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B63"/>
    <w:rPr>
      <w:b/>
      <w:bCs/>
    </w:rPr>
  </w:style>
  <w:style w:type="character" w:customStyle="1" w:styleId="dsi">
    <w:name w:val="ds_i"/>
    <w:basedOn w:val="DefaultParagraphFont"/>
    <w:rsid w:val="002B4B6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4B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4B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4B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4B6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099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3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6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6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59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4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5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2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65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53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2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1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2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9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0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716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06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2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8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5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6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41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3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4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308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49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7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2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9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1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19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67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8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1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5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3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0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0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9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064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34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7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8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7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0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96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1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98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2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248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3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6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9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8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3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5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6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3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6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4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3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161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61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2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0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6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54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7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1</cp:revision>
  <dcterms:created xsi:type="dcterms:W3CDTF">2020-04-05T02:58:00Z</dcterms:created>
  <dcterms:modified xsi:type="dcterms:W3CDTF">2020-04-05T03:03:00Z</dcterms:modified>
</cp:coreProperties>
</file>