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9DA4B" w14:textId="77777777" w:rsidR="001A76FF" w:rsidRDefault="003C0039" w:rsidP="001A76FF">
      <w:pPr>
        <w:pStyle w:val="Heading2"/>
      </w:pPr>
      <w:r>
        <w:t xml:space="preserve">Final Exam </w:t>
      </w:r>
      <w:r w:rsidR="0077611C">
        <w:t>Essay</w:t>
      </w:r>
      <w:r>
        <w:t xml:space="preserve"> Q</w:t>
      </w:r>
      <w:r w:rsidR="002C5249">
        <w:t>uestions</w:t>
      </w:r>
    </w:p>
    <w:p w14:paraId="07B83F33" w14:textId="77777777" w:rsidR="00B16DEB" w:rsidRDefault="00B16DEB" w:rsidP="00B16DEB"/>
    <w:p w14:paraId="425D33BC" w14:textId="77777777" w:rsidR="00B16DEB" w:rsidRPr="00B16DEB" w:rsidRDefault="002C5249" w:rsidP="00B16DEB">
      <w:r>
        <w:t xml:space="preserve">Each short answer </w:t>
      </w:r>
      <w:r w:rsidR="0077611C">
        <w:t xml:space="preserve">essay </w:t>
      </w:r>
      <w:r>
        <w:t>question is worth 10 points each</w:t>
      </w:r>
      <w:r w:rsidR="00B16DEB">
        <w:t xml:space="preserve">. </w:t>
      </w:r>
    </w:p>
    <w:p w14:paraId="07A87E45" w14:textId="77777777" w:rsidR="000E1155" w:rsidRDefault="000E1155" w:rsidP="000E1155">
      <w:pPr>
        <w:pStyle w:val="ISSAAssessHead"/>
      </w:pPr>
    </w:p>
    <w:p w14:paraId="6600C6F3" w14:textId="77777777" w:rsidR="000E1155" w:rsidRDefault="000E1155" w:rsidP="000E1155">
      <w:pPr>
        <w:pStyle w:val="ISSAAssessHead"/>
      </w:pPr>
      <w:r>
        <w:t>NAME:</w:t>
      </w:r>
    </w:p>
    <w:p w14:paraId="31EEF702" w14:textId="2D0E6D10" w:rsidR="000E1155" w:rsidRDefault="003D64EC" w:rsidP="003D64EC">
      <w:pPr>
        <w:pStyle w:val="ISSAAssessHead"/>
        <w:pBdr>
          <w:bottom w:val="single" w:sz="12" w:space="1" w:color="auto"/>
        </w:pBdr>
        <w:ind w:firstLine="720"/>
      </w:pPr>
      <w:r>
        <w:t>Natnael kebede</w:t>
      </w:r>
    </w:p>
    <w:p w14:paraId="3B9BA5AA" w14:textId="77777777" w:rsidR="002B6FDC" w:rsidRPr="00B16DEB" w:rsidRDefault="002B6FDC" w:rsidP="00B16DEB"/>
    <w:p w14:paraId="5D2F420C" w14:textId="77777777" w:rsidR="001A76FF" w:rsidRPr="002800AA" w:rsidRDefault="001A76FF" w:rsidP="001A76FF">
      <w:pPr>
        <w:pStyle w:val="Style2"/>
        <w:spacing w:before="0"/>
        <w:rPr>
          <w:rFonts w:cs="Arial"/>
          <w:szCs w:val="20"/>
        </w:rPr>
      </w:pPr>
    </w:p>
    <w:p w14:paraId="7905B7A6" w14:textId="77777777" w:rsidR="008E5E51" w:rsidRDefault="008E5E51" w:rsidP="00555B2C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Create </w:t>
      </w:r>
      <w:r w:rsidR="000C1B24">
        <w:rPr>
          <w:rFonts w:cs="Arial"/>
          <w:b/>
          <w:bCs/>
        </w:rPr>
        <w:t xml:space="preserve">the </w:t>
      </w:r>
      <w:r w:rsidR="00555B2C">
        <w:rPr>
          <w:rFonts w:cs="Arial"/>
          <w:b/>
          <w:bCs/>
        </w:rPr>
        <w:t>f</w:t>
      </w:r>
      <w:r w:rsidR="000C1B24">
        <w:rPr>
          <w:rFonts w:cs="Arial"/>
          <w:b/>
          <w:bCs/>
        </w:rPr>
        <w:t xml:space="preserve">ollowing 5 </w:t>
      </w:r>
      <w:r>
        <w:rPr>
          <w:rFonts w:cs="Arial"/>
          <w:b/>
          <w:bCs/>
        </w:rPr>
        <w:t>ACL</w:t>
      </w:r>
      <w:r w:rsidR="00CC425D">
        <w:rPr>
          <w:rFonts w:cs="Arial"/>
          <w:b/>
          <w:bCs/>
        </w:rPr>
        <w:t xml:space="preserve"> </w:t>
      </w:r>
      <w:r w:rsidR="00555B2C">
        <w:rPr>
          <w:rFonts w:cs="Arial"/>
          <w:b/>
          <w:bCs/>
        </w:rPr>
        <w:t>r</w:t>
      </w:r>
      <w:r w:rsidR="00CC425D">
        <w:rPr>
          <w:rFonts w:cs="Arial"/>
          <w:b/>
          <w:bCs/>
        </w:rPr>
        <w:t>ules</w:t>
      </w:r>
      <w:r w:rsidR="00555B2C">
        <w:rPr>
          <w:rFonts w:cs="Arial"/>
          <w:b/>
          <w:bCs/>
        </w:rPr>
        <w:t xml:space="preserve"> by filling in the table below:</w:t>
      </w:r>
    </w:p>
    <w:p w14:paraId="6B634DB8" w14:textId="77777777" w:rsidR="00555B2C" w:rsidRDefault="00555B2C" w:rsidP="00555B2C">
      <w:pPr>
        <w:pStyle w:val="ListParagraph"/>
        <w:numPr>
          <w:ilvl w:val="1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Allow all HTTP traffic to a web server with an IP Address of 123.456.78.9</w:t>
      </w:r>
    </w:p>
    <w:p w14:paraId="5BA973C5" w14:textId="77777777" w:rsidR="00555B2C" w:rsidRDefault="00555B2C" w:rsidP="00555B2C">
      <w:pPr>
        <w:pStyle w:val="ListParagraph"/>
        <w:numPr>
          <w:ilvl w:val="1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Allow all HTTPS traffic to a web server with an IP Address of 123.456.78.9</w:t>
      </w:r>
    </w:p>
    <w:p w14:paraId="0ECB2403" w14:textId="77777777" w:rsidR="00555B2C" w:rsidRDefault="00555B2C" w:rsidP="00555B2C">
      <w:pPr>
        <w:pStyle w:val="ListParagraph"/>
        <w:numPr>
          <w:ilvl w:val="1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Allow </w:t>
      </w:r>
      <w:r w:rsidR="00247487">
        <w:rPr>
          <w:rFonts w:cs="Arial"/>
          <w:b/>
          <w:bCs/>
        </w:rPr>
        <w:t xml:space="preserve">all </w:t>
      </w:r>
      <w:r>
        <w:rPr>
          <w:rFonts w:cs="Arial"/>
          <w:b/>
          <w:bCs/>
        </w:rPr>
        <w:t xml:space="preserve">DNS queries to a </w:t>
      </w:r>
      <w:r w:rsidR="00247487">
        <w:rPr>
          <w:rFonts w:cs="Arial"/>
          <w:b/>
          <w:bCs/>
        </w:rPr>
        <w:t>DNS server</w:t>
      </w:r>
      <w:r>
        <w:rPr>
          <w:rFonts w:cs="Arial"/>
          <w:b/>
          <w:bCs/>
        </w:rPr>
        <w:t xml:space="preserve"> with an IP Address of 987.654.32.1</w:t>
      </w:r>
    </w:p>
    <w:p w14:paraId="22313998" w14:textId="77777777" w:rsidR="00247487" w:rsidRDefault="00247487" w:rsidP="00555B2C">
      <w:pPr>
        <w:pStyle w:val="ListParagraph"/>
        <w:numPr>
          <w:ilvl w:val="1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Deny all FTP transfers to an FTP server with an IP Address of 333.22.1.1</w:t>
      </w:r>
    </w:p>
    <w:p w14:paraId="557B4007" w14:textId="77777777" w:rsidR="000E1155" w:rsidRDefault="000E1155" w:rsidP="00555B2C">
      <w:pPr>
        <w:pStyle w:val="ListParagraph"/>
        <w:numPr>
          <w:ilvl w:val="1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Apply the standard “implicit default </w:t>
      </w:r>
      <w:proofErr w:type="gramStart"/>
      <w:r>
        <w:rPr>
          <w:rFonts w:cs="Arial"/>
          <w:b/>
          <w:bCs/>
        </w:rPr>
        <w:t>deny</w:t>
      </w:r>
      <w:proofErr w:type="gramEnd"/>
      <w:r>
        <w:rPr>
          <w:rFonts w:cs="Arial"/>
          <w:b/>
          <w:bCs/>
        </w:rPr>
        <w:t>” rule to all traffic</w:t>
      </w:r>
    </w:p>
    <w:p w14:paraId="74543524" w14:textId="77777777" w:rsidR="000E1155" w:rsidRDefault="000E1155" w:rsidP="000E1155">
      <w:pPr>
        <w:spacing w:line="360" w:lineRule="auto"/>
        <w:rPr>
          <w:rFonts w:cs="Arial"/>
          <w:b/>
          <w:bCs/>
        </w:rPr>
      </w:pPr>
    </w:p>
    <w:p w14:paraId="5D8795CB" w14:textId="77777777" w:rsidR="00D50F21" w:rsidRDefault="00D50F21" w:rsidP="000E1155">
      <w:pPr>
        <w:spacing w:line="360" w:lineRule="auto"/>
        <w:rPr>
          <w:rFonts w:cs="Arial"/>
          <w:b/>
          <w:bCs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940"/>
        <w:gridCol w:w="1380"/>
        <w:gridCol w:w="1380"/>
        <w:gridCol w:w="1380"/>
        <w:gridCol w:w="1384"/>
        <w:gridCol w:w="1380"/>
        <w:gridCol w:w="1380"/>
      </w:tblGrid>
      <w:tr w:rsidR="000E1155" w:rsidRPr="000E1155" w14:paraId="16E9491C" w14:textId="77777777" w:rsidTr="000E1155">
        <w:trPr>
          <w:trHeight w:val="48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865B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Rule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2355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Protocol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384A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Source IP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4282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Source Port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1D9D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Target IP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E634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Target Port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2E63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4"/>
              </w:rPr>
              <w:t>Action</w:t>
            </w:r>
          </w:p>
        </w:tc>
      </w:tr>
      <w:tr w:rsidR="000E1155" w:rsidRPr="000E1155" w14:paraId="285BCE7D" w14:textId="77777777" w:rsidTr="000E1155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30B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257F" w14:textId="443D31F9" w:rsidR="000E1155" w:rsidRPr="000E1155" w:rsidRDefault="00877024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2AF7" w14:textId="60734C2F" w:rsidR="000E1155" w:rsidRPr="000E1155" w:rsidRDefault="00877024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178D" w14:textId="423E8ACE" w:rsidR="000E1155" w:rsidRPr="000E1155" w:rsidRDefault="00877024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638D" w14:textId="745FD19B" w:rsidR="000E1155" w:rsidRPr="006353C5" w:rsidRDefault="006353C5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53C5">
              <w:rPr>
                <w:rFonts w:cs="Arial"/>
              </w:rPr>
              <w:t>123.456.78.9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DE34" w14:textId="1AF9202C" w:rsidR="000E1155" w:rsidRPr="000E1155" w:rsidRDefault="006353C5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63C1" w14:textId="6253EB02" w:rsidR="000E1155" w:rsidRPr="000E1155" w:rsidRDefault="006353C5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Allow</w:t>
            </w:r>
          </w:p>
        </w:tc>
      </w:tr>
      <w:tr w:rsidR="000E1155" w:rsidRPr="000E1155" w14:paraId="3C34D6C6" w14:textId="77777777" w:rsidTr="000E1155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500C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D6DE" w14:textId="5A82105D" w:rsidR="000E1155" w:rsidRPr="000E1155" w:rsidRDefault="00877024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DBCF" w14:textId="486BA051" w:rsidR="000E1155" w:rsidRPr="000E1155" w:rsidRDefault="00877024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9A40" w14:textId="583D23B0" w:rsidR="000E1155" w:rsidRPr="000E1155" w:rsidRDefault="00877024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3B14" w14:textId="3C8EF7D2" w:rsidR="000E1155" w:rsidRPr="000E1155" w:rsidRDefault="006353C5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53C5">
              <w:rPr>
                <w:rFonts w:cs="Arial"/>
              </w:rPr>
              <w:t>123.456.78.9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4016" w14:textId="53C607CF" w:rsidR="000E1155" w:rsidRPr="000E1155" w:rsidRDefault="006353C5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7352" w14:textId="6F2665D7" w:rsidR="000E1155" w:rsidRPr="000E1155" w:rsidRDefault="006353C5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Allow</w:t>
            </w:r>
          </w:p>
        </w:tc>
      </w:tr>
      <w:tr w:rsidR="000E1155" w:rsidRPr="000E1155" w14:paraId="385FB525" w14:textId="77777777" w:rsidTr="000E1155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366E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0542" w14:textId="6600BCC9" w:rsidR="000E1155" w:rsidRPr="000E1155" w:rsidRDefault="00387012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UDP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9303" w14:textId="27560700" w:rsidR="000E1155" w:rsidRPr="000E1155" w:rsidRDefault="00877024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B25A" w14:textId="72F89DFA" w:rsidR="000E1155" w:rsidRPr="000E1155" w:rsidRDefault="00877024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25D9" w14:textId="46D175E8" w:rsidR="000E1155" w:rsidRPr="006353C5" w:rsidRDefault="006353C5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53C5">
              <w:rPr>
                <w:rFonts w:cs="Arial"/>
              </w:rPr>
              <w:t>987.654.32.1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D91C" w14:textId="6CA5294F" w:rsidR="000E1155" w:rsidRPr="000E1155" w:rsidRDefault="006353C5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FADD" w14:textId="172EA859" w:rsidR="000E1155" w:rsidRPr="000E1155" w:rsidRDefault="006353C5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Allow</w:t>
            </w:r>
          </w:p>
        </w:tc>
      </w:tr>
      <w:tr w:rsidR="000E1155" w:rsidRPr="000E1155" w14:paraId="34588B29" w14:textId="77777777" w:rsidTr="000E1155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2382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0E9E" w14:textId="2424C9E4" w:rsidR="000E1155" w:rsidRPr="000E1155" w:rsidRDefault="00245DAE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7573" w14:textId="50D46A86" w:rsidR="000E1155" w:rsidRPr="000E1155" w:rsidRDefault="00877024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A381" w14:textId="00076E20" w:rsidR="000E1155" w:rsidRPr="000E1155" w:rsidRDefault="00877024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66D4" w14:textId="38187421" w:rsidR="000E1155" w:rsidRPr="006353C5" w:rsidRDefault="006353C5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53C5">
              <w:rPr>
                <w:rFonts w:cs="Arial"/>
              </w:rPr>
              <w:t>333.22.1.1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9A1F" w14:textId="1D2BD9CD" w:rsidR="000E1155" w:rsidRPr="000E1155" w:rsidRDefault="00877024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7F90" w14:textId="364F5D59" w:rsidR="000E1155" w:rsidRPr="000E1155" w:rsidRDefault="006353C5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Deny</w:t>
            </w:r>
          </w:p>
        </w:tc>
      </w:tr>
      <w:tr w:rsidR="000E1155" w:rsidRPr="000E1155" w14:paraId="2A0A7654" w14:textId="77777777" w:rsidTr="000E1155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6130" w14:textId="77777777" w:rsidR="000E1155" w:rsidRPr="000E1155" w:rsidRDefault="000E1155" w:rsidP="000E11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11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383D" w14:textId="1DBCEAF0" w:rsidR="000E1155" w:rsidRPr="000E1155" w:rsidRDefault="00146937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7923" w14:textId="1EBB1532" w:rsidR="000E1155" w:rsidRPr="000E1155" w:rsidRDefault="00146937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304" w14:textId="5FFF7761" w:rsidR="000E1155" w:rsidRPr="000E1155" w:rsidRDefault="00146937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11AB" w14:textId="4B7CD066" w:rsidR="000E1155" w:rsidRPr="000E1155" w:rsidRDefault="00146937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B891" w14:textId="3BE04E6A" w:rsidR="000E1155" w:rsidRPr="000E1155" w:rsidRDefault="00146937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7EA6" w14:textId="14BE6CB1" w:rsidR="000E1155" w:rsidRPr="000E1155" w:rsidRDefault="00146937" w:rsidP="00DA0E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Deny</w:t>
            </w:r>
          </w:p>
        </w:tc>
      </w:tr>
    </w:tbl>
    <w:p w14:paraId="6E6A4E0D" w14:textId="77777777" w:rsidR="000E1155" w:rsidRPr="000E1155" w:rsidRDefault="000E1155" w:rsidP="000E1155">
      <w:pPr>
        <w:spacing w:line="360" w:lineRule="auto"/>
        <w:rPr>
          <w:rFonts w:cs="Arial"/>
          <w:b/>
          <w:bCs/>
        </w:rPr>
      </w:pPr>
    </w:p>
    <w:p w14:paraId="7F414B3F" w14:textId="77777777" w:rsidR="000E1155" w:rsidRDefault="000E1155">
      <w:pPr>
        <w:spacing w:after="20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</w:rPr>
        <w:br w:type="page"/>
      </w:r>
    </w:p>
    <w:p w14:paraId="06F099EA" w14:textId="77777777" w:rsidR="00AB5131" w:rsidRDefault="00AB5131" w:rsidP="007E2458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574D5A62" w14:textId="77777777" w:rsidR="00E24CAB" w:rsidRPr="00D50F21" w:rsidRDefault="00F84F7B" w:rsidP="00D50F21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Define “split-tunneling” as it relates to a standard VPN connection</w:t>
      </w:r>
      <w:r w:rsidR="00D50F21">
        <w:rPr>
          <w:rFonts w:cs="Arial"/>
          <w:b/>
          <w:bCs/>
        </w:rPr>
        <w:t>. Describe</w:t>
      </w:r>
      <w:r>
        <w:rPr>
          <w:rFonts w:cs="Arial"/>
          <w:b/>
          <w:bCs/>
        </w:rPr>
        <w:t xml:space="preserve"> 2 benefits</w:t>
      </w:r>
      <w:r w:rsidR="00D50F21">
        <w:rPr>
          <w:rFonts w:cs="Arial"/>
          <w:b/>
          <w:bCs/>
        </w:rPr>
        <w:t xml:space="preserve"> or advantages for</w:t>
      </w:r>
      <w:r>
        <w:rPr>
          <w:rFonts w:cs="Arial"/>
          <w:b/>
          <w:bCs/>
        </w:rPr>
        <w:t xml:space="preserve"> allowing </w:t>
      </w:r>
      <w:proofErr w:type="gramStart"/>
      <w:r w:rsidR="00D50F21">
        <w:rPr>
          <w:rFonts w:cs="Arial"/>
          <w:b/>
          <w:bCs/>
        </w:rPr>
        <w:t>split-tunneling</w:t>
      </w:r>
      <w:proofErr w:type="gramEnd"/>
      <w:r w:rsidR="00D50F21">
        <w:rPr>
          <w:rFonts w:cs="Arial"/>
          <w:b/>
          <w:bCs/>
        </w:rPr>
        <w:t xml:space="preserve">. Describe 2 security risks or disadvantages by allowing </w:t>
      </w:r>
      <w:proofErr w:type="gramStart"/>
      <w:r w:rsidR="00D50F21">
        <w:rPr>
          <w:rFonts w:cs="Arial"/>
          <w:b/>
          <w:bCs/>
        </w:rPr>
        <w:t>split-tunneling</w:t>
      </w:r>
      <w:proofErr w:type="gramEnd"/>
      <w:r w:rsidR="00D50F21">
        <w:rPr>
          <w:rFonts w:cs="Arial"/>
          <w:b/>
          <w:bCs/>
        </w:rPr>
        <w:t xml:space="preserve">. </w:t>
      </w:r>
    </w:p>
    <w:p w14:paraId="67314B07" w14:textId="77777777" w:rsidR="00127081" w:rsidRPr="00127081" w:rsidRDefault="00127081" w:rsidP="00127081">
      <w:pPr>
        <w:spacing w:after="200" w:line="276" w:lineRule="auto"/>
        <w:rPr>
          <w:rFonts w:cs="Arial"/>
          <w:b/>
          <w:bCs/>
          <w:sz w:val="24"/>
        </w:rPr>
      </w:pPr>
    </w:p>
    <w:p w14:paraId="223F6D5B" w14:textId="77777777" w:rsidR="00E44FDE" w:rsidRPr="0041228D" w:rsidRDefault="00E44FDE" w:rsidP="00E44FDE">
      <w:pPr>
        <w:spacing w:after="200" w:line="276" w:lineRule="auto"/>
        <w:ind w:left="360"/>
        <w:rPr>
          <w:rFonts w:cs="Arial"/>
          <w:szCs w:val="20"/>
        </w:rPr>
      </w:pPr>
      <w:r w:rsidRPr="0041228D">
        <w:rPr>
          <w:rFonts w:cs="Arial"/>
          <w:szCs w:val="20"/>
        </w:rPr>
        <w:t xml:space="preserve">Split tunneling is a configuration setting that allows a remote VPN user to simultaneously access both an untrustworthy network such as a home network or public network such as the internet, and a secured VPN network connection which allows the individual to access resources hosted on the VPN. </w:t>
      </w:r>
    </w:p>
    <w:p w14:paraId="76530E67" w14:textId="77777777" w:rsidR="00E44FDE" w:rsidRPr="0041228D" w:rsidRDefault="00E44FDE" w:rsidP="00E44FDE">
      <w:pPr>
        <w:spacing w:after="200" w:line="276" w:lineRule="auto"/>
        <w:ind w:left="360"/>
        <w:rPr>
          <w:rFonts w:cs="Arial"/>
          <w:szCs w:val="20"/>
        </w:rPr>
      </w:pPr>
      <w:r w:rsidRPr="0041228D">
        <w:rPr>
          <w:rFonts w:cs="Arial"/>
          <w:szCs w:val="20"/>
        </w:rPr>
        <w:t>Two benefits or advantages that can occur by allowing split tunneling includes:</w:t>
      </w:r>
    </w:p>
    <w:p w14:paraId="6B5C7728" w14:textId="77777777" w:rsidR="00E44FDE" w:rsidRPr="0041228D" w:rsidRDefault="00E44FDE" w:rsidP="00E44FDE">
      <w:pPr>
        <w:pStyle w:val="ListParagraph"/>
        <w:numPr>
          <w:ilvl w:val="0"/>
          <w:numId w:val="16"/>
        </w:numPr>
        <w:spacing w:after="200" w:line="276" w:lineRule="auto"/>
        <w:rPr>
          <w:rFonts w:cs="Arial"/>
          <w:szCs w:val="16"/>
        </w:rPr>
      </w:pPr>
      <w:r w:rsidRPr="0041228D">
        <w:rPr>
          <w:rFonts w:cs="Arial"/>
          <w:szCs w:val="16"/>
        </w:rPr>
        <w:t>It reduces bottlenecks and conserves bandwidth since Internet traffic does not have to pass through the VPN server. </w:t>
      </w:r>
    </w:p>
    <w:p w14:paraId="55542F8B" w14:textId="77777777" w:rsidR="00E44FDE" w:rsidRPr="0041228D" w:rsidRDefault="00E44FDE" w:rsidP="00E44FDE">
      <w:pPr>
        <w:pStyle w:val="ListParagraph"/>
        <w:numPr>
          <w:ilvl w:val="0"/>
          <w:numId w:val="16"/>
        </w:numPr>
        <w:spacing w:after="200" w:line="276" w:lineRule="auto"/>
        <w:rPr>
          <w:rFonts w:cs="Arial"/>
          <w:szCs w:val="16"/>
        </w:rPr>
      </w:pPr>
      <w:r w:rsidRPr="0041228D">
        <w:rPr>
          <w:rFonts w:cs="Arial"/>
          <w:szCs w:val="16"/>
        </w:rPr>
        <w:t>It enables strict separation of corporate Internet traffic and private Internet use.</w:t>
      </w:r>
    </w:p>
    <w:p w14:paraId="19B0C4A2" w14:textId="77777777" w:rsidR="00E44FDE" w:rsidRPr="0041228D" w:rsidRDefault="00E44FDE" w:rsidP="00E44FDE">
      <w:pPr>
        <w:spacing w:after="200" w:line="276" w:lineRule="auto"/>
        <w:ind w:left="360"/>
        <w:rPr>
          <w:rFonts w:cs="Arial"/>
          <w:szCs w:val="20"/>
        </w:rPr>
      </w:pPr>
      <w:r w:rsidRPr="0041228D">
        <w:rPr>
          <w:rFonts w:cs="Arial"/>
          <w:szCs w:val="20"/>
        </w:rPr>
        <w:t>On the other hand, two security risks or disadvantages that can occur by allowing split tunneling includes:</w:t>
      </w:r>
    </w:p>
    <w:p w14:paraId="2D744C3A" w14:textId="77777777" w:rsidR="00E44FDE" w:rsidRPr="0041228D" w:rsidRDefault="00E44FDE" w:rsidP="00E44FDE">
      <w:pPr>
        <w:spacing w:after="200" w:line="276" w:lineRule="auto"/>
        <w:ind w:left="360"/>
        <w:rPr>
          <w:rFonts w:cs="Arial"/>
          <w:szCs w:val="20"/>
        </w:rPr>
      </w:pPr>
      <w:r w:rsidRPr="0041228D">
        <w:rPr>
          <w:rFonts w:cs="Arial"/>
          <w:szCs w:val="20"/>
        </w:rPr>
        <w:t xml:space="preserve">1) </w:t>
      </w:r>
      <w:r>
        <w:rPr>
          <w:rFonts w:cs="Arial"/>
          <w:szCs w:val="20"/>
        </w:rPr>
        <w:t>It p</w:t>
      </w:r>
      <w:r w:rsidRPr="0041228D">
        <w:rPr>
          <w:rFonts w:cs="Arial"/>
          <w:szCs w:val="20"/>
        </w:rPr>
        <w:t>rovid</w:t>
      </w:r>
      <w:r>
        <w:rPr>
          <w:rFonts w:cs="Arial"/>
          <w:szCs w:val="20"/>
        </w:rPr>
        <w:t>es</w:t>
      </w:r>
      <w:r w:rsidRPr="0041228D">
        <w:rPr>
          <w:rFonts w:cs="Arial"/>
          <w:szCs w:val="20"/>
        </w:rPr>
        <w:t xml:space="preserve"> an attacker access to an internal network from anywhere on the internet if the client machine gets compromised by a virus that permits remote control of the system by an attacker. </w:t>
      </w:r>
    </w:p>
    <w:p w14:paraId="577151EC" w14:textId="17AB9BC5" w:rsidR="00AB5131" w:rsidRPr="00127081" w:rsidRDefault="00E44FDE" w:rsidP="00E44FDE">
      <w:pPr>
        <w:spacing w:after="200" w:line="276" w:lineRule="auto"/>
        <w:ind w:left="360"/>
        <w:rPr>
          <w:rFonts w:cs="Arial"/>
          <w:sz w:val="24"/>
        </w:rPr>
      </w:pPr>
      <w:r w:rsidRPr="0041228D">
        <w:rPr>
          <w:rFonts w:cs="Arial"/>
          <w:szCs w:val="20"/>
        </w:rPr>
        <w:t xml:space="preserve">2) It potentially opens a door into a network that can’t be controlled. That is, it introduces </w:t>
      </w:r>
      <w:proofErr w:type="spellStart"/>
      <w:r w:rsidR="00FF2386">
        <w:rPr>
          <w:rFonts w:cs="Arial"/>
          <w:szCs w:val="20"/>
        </w:rPr>
        <w:t>H</w:t>
      </w:r>
      <w:r w:rsidRPr="0041228D">
        <w:rPr>
          <w:rFonts w:cs="Arial"/>
          <w:szCs w:val="20"/>
        </w:rPr>
        <w:t>airpinning</w:t>
      </w:r>
      <w:proofErr w:type="spellEnd"/>
      <w:r w:rsidRPr="0041228D">
        <w:rPr>
          <w:rFonts w:cs="Arial"/>
          <w:szCs w:val="20"/>
        </w:rPr>
        <w:t xml:space="preserve">, allowing malicious code to enter from a non-secure network making a hairpin or sharp turn and entering the secure network without any trouble by entering from a secure and verified endpoint. </w:t>
      </w:r>
      <w:r w:rsidR="000E1155" w:rsidRPr="00127081">
        <w:rPr>
          <w:rFonts w:cs="Arial"/>
          <w:sz w:val="24"/>
        </w:rPr>
        <w:br w:type="page"/>
      </w:r>
    </w:p>
    <w:p w14:paraId="31609D75" w14:textId="77777777" w:rsidR="007E2458" w:rsidRDefault="00D50F21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Identify and briefly describe 5 key differences between IPv4 and IPv6.</w:t>
      </w:r>
    </w:p>
    <w:p w14:paraId="6285595C" w14:textId="77777777" w:rsidR="00D50F21" w:rsidRDefault="00D50F21" w:rsidP="00D50F21">
      <w:pPr>
        <w:spacing w:line="360" w:lineRule="auto"/>
        <w:rPr>
          <w:rFonts w:cs="Arial"/>
          <w:b/>
          <w:bCs/>
        </w:rPr>
      </w:pPr>
    </w:p>
    <w:p w14:paraId="299BA18B" w14:textId="77777777" w:rsidR="0096046A" w:rsidRPr="00BC1039" w:rsidRDefault="0096046A" w:rsidP="0096046A">
      <w:pPr>
        <w:spacing w:after="200" w:line="276" w:lineRule="auto"/>
        <w:rPr>
          <w:rFonts w:cs="Arial"/>
        </w:rPr>
      </w:pPr>
      <w:r w:rsidRPr="00BC1039">
        <w:rPr>
          <w:rFonts w:cs="Arial"/>
        </w:rPr>
        <w:t xml:space="preserve">Five key differences between IPv4 and IPv6 include: </w:t>
      </w:r>
    </w:p>
    <w:p w14:paraId="5291080B" w14:textId="77777777" w:rsidR="0096046A" w:rsidRDefault="0096046A" w:rsidP="0096046A">
      <w:pPr>
        <w:pStyle w:val="ListParagraph"/>
        <w:numPr>
          <w:ilvl w:val="0"/>
          <w:numId w:val="19"/>
        </w:numPr>
        <w:spacing w:after="200" w:line="276" w:lineRule="auto"/>
        <w:rPr>
          <w:rFonts w:cs="Arial"/>
        </w:rPr>
      </w:pPr>
      <w:r w:rsidRPr="000A6256">
        <w:rPr>
          <w:rFonts w:cs="Arial"/>
        </w:rPr>
        <w:t xml:space="preserve">Address </w:t>
      </w:r>
      <w:r>
        <w:rPr>
          <w:rFonts w:cs="Arial"/>
        </w:rPr>
        <w:t>S</w:t>
      </w:r>
      <w:r w:rsidRPr="000A6256">
        <w:rPr>
          <w:rFonts w:cs="Arial"/>
        </w:rPr>
        <w:t>pace: IP</w:t>
      </w:r>
      <w:r>
        <w:rPr>
          <w:rFonts w:cs="Arial"/>
        </w:rPr>
        <w:t>v</w:t>
      </w:r>
      <w:r w:rsidRPr="000A6256">
        <w:rPr>
          <w:rFonts w:cs="Arial"/>
        </w:rPr>
        <w:t>4 address supports approximately 4.3 billon addresses with less than 10 percent of the total IP</w:t>
      </w:r>
      <w:r>
        <w:rPr>
          <w:rFonts w:cs="Arial"/>
        </w:rPr>
        <w:t>v</w:t>
      </w:r>
      <w:r w:rsidRPr="000A6256">
        <w:rPr>
          <w:rFonts w:cs="Arial"/>
        </w:rPr>
        <w:t>4 address currently remaining. On the other hand, IP</w:t>
      </w:r>
      <w:r>
        <w:rPr>
          <w:rFonts w:cs="Arial"/>
        </w:rPr>
        <w:t>v</w:t>
      </w:r>
      <w:r w:rsidRPr="000A6256">
        <w:rPr>
          <w:rFonts w:cs="Arial"/>
        </w:rPr>
        <w:t xml:space="preserve">6 provides an increased address space supporting 340 undecillion IP addresses for network devices. </w:t>
      </w:r>
    </w:p>
    <w:p w14:paraId="20EE70D4" w14:textId="77777777" w:rsidR="0096046A" w:rsidRDefault="0096046A" w:rsidP="0096046A">
      <w:pPr>
        <w:pStyle w:val="ListParagraph"/>
        <w:numPr>
          <w:ilvl w:val="0"/>
          <w:numId w:val="19"/>
        </w:numPr>
        <w:spacing w:after="200" w:line="276" w:lineRule="auto"/>
        <w:rPr>
          <w:rFonts w:cs="Arial"/>
        </w:rPr>
      </w:pPr>
      <w:r>
        <w:rPr>
          <w:rFonts w:cs="Arial"/>
        </w:rPr>
        <w:t>Security:</w:t>
      </w:r>
      <w:r w:rsidRPr="008234A1">
        <w:rPr>
          <w:rFonts w:cs="Arial"/>
        </w:rPr>
        <w:t> IPv6 protocol has solved some of the security problems found in IPv4 networks. One example of this scenario is the inclusion of IP Security (IPsec) in the IPv6 protocol</w:t>
      </w:r>
      <w:r>
        <w:rPr>
          <w:rFonts w:cs="Arial"/>
        </w:rPr>
        <w:t xml:space="preserve"> to provide native information security framework</w:t>
      </w:r>
      <w:r w:rsidRPr="008234A1">
        <w:rPr>
          <w:rFonts w:cs="Arial"/>
        </w:rPr>
        <w:t>, mak</w:t>
      </w:r>
      <w:r>
        <w:rPr>
          <w:rFonts w:cs="Arial"/>
        </w:rPr>
        <w:t>ing</w:t>
      </w:r>
      <w:r w:rsidRPr="008234A1">
        <w:rPr>
          <w:rFonts w:cs="Arial"/>
        </w:rPr>
        <w:t xml:space="preserve"> it fundamentally more secure than the older IPv4 standard.</w:t>
      </w:r>
      <w:r>
        <w:rPr>
          <w:rFonts w:cs="Arial"/>
        </w:rPr>
        <w:t xml:space="preserve"> </w:t>
      </w:r>
    </w:p>
    <w:p w14:paraId="766B3EE4" w14:textId="77777777" w:rsidR="0096046A" w:rsidRDefault="0096046A" w:rsidP="0096046A">
      <w:pPr>
        <w:pStyle w:val="ListParagraph"/>
        <w:numPr>
          <w:ilvl w:val="0"/>
          <w:numId w:val="19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Management Requirements: IPv6 is a more robust protocol that requires less management. In contrast, IPv4 required a significant management due to new requirements after the introduction of the protocol. </w:t>
      </w:r>
    </w:p>
    <w:p w14:paraId="0B58B4C8" w14:textId="77777777" w:rsidR="0096046A" w:rsidRPr="00F72DD0" w:rsidRDefault="0096046A" w:rsidP="0096046A">
      <w:pPr>
        <w:pStyle w:val="ListParagraph"/>
        <w:numPr>
          <w:ilvl w:val="0"/>
          <w:numId w:val="19"/>
        </w:numPr>
        <w:spacing w:after="200" w:line="276" w:lineRule="auto"/>
        <w:rPr>
          <w:rFonts w:cs="Arial"/>
        </w:rPr>
      </w:pPr>
      <w:r>
        <w:rPr>
          <w:rFonts w:cs="Arial"/>
        </w:rPr>
        <w:t>Routing: The routing functionality of IPv6 has been enhanced by requiring fewer hops between network nodes, allowing multicast (</w:t>
      </w:r>
      <w:r w:rsidRPr="00672678">
        <w:rPr>
          <w:rFonts w:cs="Arial"/>
        </w:rPr>
        <w:t>Substantial packet streams sent to multiple destinations at the same time distribut</w:t>
      </w:r>
      <w:r>
        <w:rPr>
          <w:rFonts w:cs="Arial"/>
        </w:rPr>
        <w:t>ing</w:t>
      </w:r>
      <w:r w:rsidRPr="00672678">
        <w:rPr>
          <w:rFonts w:cs="Arial"/>
        </w:rPr>
        <w:t xml:space="preserve"> loads and sav</w:t>
      </w:r>
      <w:r>
        <w:rPr>
          <w:rFonts w:cs="Arial"/>
        </w:rPr>
        <w:t xml:space="preserve">ing </w:t>
      </w:r>
      <w:r w:rsidRPr="00672678">
        <w:rPr>
          <w:rFonts w:cs="Arial"/>
        </w:rPr>
        <w:t>bandwidth</w:t>
      </w:r>
      <w:r>
        <w:rPr>
          <w:rFonts w:cs="Arial"/>
        </w:rPr>
        <w:t xml:space="preserve">), and smoother end-to-end functionality (the host generating part of the address to speed up the process) in comparison to IPv4. </w:t>
      </w:r>
    </w:p>
    <w:p w14:paraId="651C0B2F" w14:textId="77777777" w:rsidR="0096046A" w:rsidRDefault="0096046A" w:rsidP="0096046A">
      <w:pPr>
        <w:pStyle w:val="ListParagraph"/>
        <w:numPr>
          <w:ilvl w:val="0"/>
          <w:numId w:val="19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Configuration of Hosts: By querying the local routers with multicast message, IPv6 permits hosts to automatically configure themselves when they connect to an IPv6 network. If this configuration mechanism isn’t supported for a specific environment or application, support is also available for an IPv6 version of DHCP all of it making it different when compared to IPv4. </w:t>
      </w:r>
    </w:p>
    <w:p w14:paraId="30C1FFAE" w14:textId="78549D79" w:rsidR="00D50F21" w:rsidRPr="000A6256" w:rsidRDefault="00D50F21" w:rsidP="000A6256">
      <w:pPr>
        <w:pStyle w:val="ListParagraph"/>
        <w:numPr>
          <w:ilvl w:val="0"/>
          <w:numId w:val="19"/>
        </w:numPr>
        <w:spacing w:after="200" w:line="276" w:lineRule="auto"/>
        <w:rPr>
          <w:rFonts w:cs="Arial"/>
        </w:rPr>
      </w:pPr>
      <w:r w:rsidRPr="000A6256">
        <w:rPr>
          <w:rFonts w:cs="Arial"/>
        </w:rPr>
        <w:br w:type="page"/>
      </w:r>
    </w:p>
    <w:p w14:paraId="1D7A8736" w14:textId="77777777" w:rsidR="00AB5131" w:rsidRDefault="00AB5131" w:rsidP="007E2458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0883AAA0" w14:textId="77777777" w:rsidR="00BC1039" w:rsidRDefault="00D50F21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List and explain 5 </w:t>
      </w:r>
      <w:r w:rsidR="00834098">
        <w:rPr>
          <w:rFonts w:cs="Arial"/>
          <w:b/>
          <w:bCs/>
        </w:rPr>
        <w:t>different</w:t>
      </w:r>
      <w:r>
        <w:rPr>
          <w:rFonts w:cs="Arial"/>
          <w:b/>
          <w:bCs/>
        </w:rPr>
        <w:t xml:space="preserve"> </w:t>
      </w:r>
      <w:r w:rsidR="00AD3131">
        <w:rPr>
          <w:rFonts w:cs="Arial"/>
          <w:b/>
          <w:bCs/>
        </w:rPr>
        <w:t>security controls</w:t>
      </w:r>
      <w:r>
        <w:rPr>
          <w:rFonts w:cs="Arial"/>
          <w:b/>
          <w:bCs/>
        </w:rPr>
        <w:t xml:space="preserve"> to reduce the risk of a standard Denial of Service (DoS) attack</w:t>
      </w:r>
      <w:r w:rsidR="00834098">
        <w:rPr>
          <w:rFonts w:cs="Arial"/>
          <w:b/>
          <w:bCs/>
        </w:rPr>
        <w:t xml:space="preserve"> against an Internet facing system</w:t>
      </w:r>
      <w:r>
        <w:rPr>
          <w:rFonts w:cs="Arial"/>
          <w:b/>
          <w:bCs/>
        </w:rPr>
        <w:t>.</w:t>
      </w:r>
    </w:p>
    <w:p w14:paraId="419AB166" w14:textId="77777777" w:rsidR="00BC1039" w:rsidRDefault="00BC1039" w:rsidP="00BC1039">
      <w:pPr>
        <w:pStyle w:val="ListParagraph"/>
        <w:spacing w:line="360" w:lineRule="auto"/>
        <w:ind w:left="360"/>
        <w:rPr>
          <w:rFonts w:cs="Arial"/>
          <w:b/>
          <w:bCs/>
        </w:rPr>
      </w:pPr>
    </w:p>
    <w:p w14:paraId="00A1E3A9" w14:textId="7756A0D4" w:rsidR="007E2458" w:rsidRPr="00BC1039" w:rsidRDefault="00BC1039" w:rsidP="00BC1039">
      <w:pPr>
        <w:pStyle w:val="ListParagraph"/>
        <w:spacing w:line="360" w:lineRule="auto"/>
        <w:ind w:left="360"/>
        <w:rPr>
          <w:rFonts w:cs="Arial"/>
        </w:rPr>
      </w:pPr>
      <w:r w:rsidRPr="00BC1039">
        <w:rPr>
          <w:rFonts w:cs="Arial"/>
        </w:rPr>
        <w:t xml:space="preserve">Five different security controls to reduce the risk of a standard Denial of Service (DoS) attack against an </w:t>
      </w:r>
      <w:r w:rsidR="006C3652">
        <w:rPr>
          <w:rFonts w:cs="Arial"/>
        </w:rPr>
        <w:t>i</w:t>
      </w:r>
      <w:r w:rsidRPr="00BC1039">
        <w:rPr>
          <w:rFonts w:cs="Arial"/>
        </w:rPr>
        <w:t xml:space="preserve">nternet facing system is summarized in the table below. </w:t>
      </w:r>
    </w:p>
    <w:tbl>
      <w:tblPr>
        <w:tblStyle w:val="TableGrid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1039" w14:paraId="20AB86C4" w14:textId="77777777" w:rsidTr="00BC1039">
        <w:tc>
          <w:tcPr>
            <w:tcW w:w="4675" w:type="dxa"/>
          </w:tcPr>
          <w:p w14:paraId="1114B451" w14:textId="6B9CF50B" w:rsidR="00BC1039" w:rsidRDefault="00BC1039" w:rsidP="00BC1039">
            <w:pPr>
              <w:spacing w:after="200" w:line="276" w:lineRule="auto"/>
              <w:jc w:val="center"/>
              <w:rPr>
                <w:rFonts w:cs="Arial"/>
                <w:b/>
                <w:bCs/>
                <w:szCs w:val="20"/>
              </w:rPr>
            </w:pPr>
            <w:bookmarkStart w:id="0" w:name="_Hlk24966942"/>
            <w:r>
              <w:rPr>
                <w:rFonts w:cs="Arial"/>
                <w:b/>
                <w:bCs/>
                <w:szCs w:val="20"/>
              </w:rPr>
              <w:t>List of Security Controls</w:t>
            </w:r>
          </w:p>
        </w:tc>
        <w:tc>
          <w:tcPr>
            <w:tcW w:w="4675" w:type="dxa"/>
          </w:tcPr>
          <w:p w14:paraId="625637E7" w14:textId="769ADFF0" w:rsidR="00BC1039" w:rsidRDefault="00BC1039" w:rsidP="00BC1039">
            <w:pPr>
              <w:spacing w:after="200" w:line="276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Explanation of Security Controls</w:t>
            </w:r>
          </w:p>
        </w:tc>
      </w:tr>
      <w:tr w:rsidR="00BC1039" w14:paraId="09ABAF88" w14:textId="77777777" w:rsidTr="00BC1039">
        <w:tc>
          <w:tcPr>
            <w:tcW w:w="4675" w:type="dxa"/>
          </w:tcPr>
          <w:p w14:paraId="6F5DCB9E" w14:textId="09A0E9EA" w:rsidR="00BC1039" w:rsidRPr="003B3E92" w:rsidRDefault="003B3E92" w:rsidP="003B3E92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="Arial"/>
              </w:rPr>
            </w:pPr>
            <w:r w:rsidRPr="003B3E92">
              <w:rPr>
                <w:rFonts w:cs="Arial"/>
              </w:rPr>
              <w:t>Firewalls</w:t>
            </w:r>
          </w:p>
        </w:tc>
        <w:tc>
          <w:tcPr>
            <w:tcW w:w="4675" w:type="dxa"/>
          </w:tcPr>
          <w:p w14:paraId="7C5951FF" w14:textId="08C0352A" w:rsidR="00BC1039" w:rsidRPr="003B3E92" w:rsidRDefault="003B3E92" w:rsidP="003B3E92">
            <w:pPr>
              <w:spacing w:after="200" w:line="276" w:lineRule="auto"/>
              <w:rPr>
                <w:rFonts w:cs="Arial"/>
                <w:szCs w:val="20"/>
              </w:rPr>
            </w:pPr>
            <w:r w:rsidRPr="003B3E92">
              <w:rPr>
                <w:rFonts w:cs="Arial"/>
                <w:szCs w:val="20"/>
              </w:rPr>
              <w:t xml:space="preserve">A firewall can detect and discard DoS by utilizing its filtering service to prevent the DoS traffic from breaching the network’s perimeter and affecting internal systems. </w:t>
            </w:r>
          </w:p>
        </w:tc>
      </w:tr>
      <w:tr w:rsidR="00BC1039" w14:paraId="2D83B053" w14:textId="77777777" w:rsidTr="00BC1039">
        <w:tc>
          <w:tcPr>
            <w:tcW w:w="4675" w:type="dxa"/>
          </w:tcPr>
          <w:p w14:paraId="1A79ACAE" w14:textId="75CC6177" w:rsidR="00BC1039" w:rsidRPr="005B4F9C" w:rsidRDefault="005B4F9C" w:rsidP="003B3E92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="Arial"/>
              </w:rPr>
            </w:pPr>
            <w:r w:rsidRPr="005B4F9C">
              <w:rPr>
                <w:rFonts w:cs="Arial"/>
              </w:rPr>
              <w:t>In-Cloud Scrubbing Services</w:t>
            </w:r>
          </w:p>
        </w:tc>
        <w:tc>
          <w:tcPr>
            <w:tcW w:w="4675" w:type="dxa"/>
          </w:tcPr>
          <w:p w14:paraId="48E2527F" w14:textId="3F5A8934" w:rsidR="00BC1039" w:rsidRPr="005B4F9C" w:rsidRDefault="005B4F9C" w:rsidP="003B3391">
            <w:pPr>
              <w:spacing w:after="200" w:line="276" w:lineRule="auto"/>
              <w:rPr>
                <w:rFonts w:cs="Arial"/>
                <w:szCs w:val="20"/>
              </w:rPr>
            </w:pPr>
            <w:r w:rsidRPr="005B4F9C">
              <w:rPr>
                <w:rFonts w:cs="Arial"/>
                <w:szCs w:val="20"/>
              </w:rPr>
              <w:t xml:space="preserve">Given that most DoS attacks </w:t>
            </w:r>
            <w:r w:rsidR="000528B0">
              <w:rPr>
                <w:rFonts w:cs="Arial"/>
                <w:szCs w:val="20"/>
              </w:rPr>
              <w:t xml:space="preserve">can be </w:t>
            </w:r>
            <w:r w:rsidRPr="005B4F9C">
              <w:rPr>
                <w:rFonts w:cs="Arial"/>
                <w:szCs w:val="20"/>
              </w:rPr>
              <w:t>volumetric attacks, cloud scrubbing services</w:t>
            </w:r>
            <w:r w:rsidR="00CB58C3">
              <w:rPr>
                <w:rFonts w:cs="Arial"/>
                <w:szCs w:val="20"/>
              </w:rPr>
              <w:t xml:space="preserve"> inspect large volumes of traffic and remove malicious traffic before allowing it to enter corporate networks. As a result, they</w:t>
            </w:r>
            <w:r w:rsidRPr="005B4F9C">
              <w:rPr>
                <w:rFonts w:cs="Arial"/>
                <w:szCs w:val="20"/>
              </w:rPr>
              <w:t xml:space="preserve"> deliver a high degree of effectiveness </w:t>
            </w:r>
            <w:r w:rsidR="00AB2224">
              <w:rPr>
                <w:rFonts w:cs="Arial"/>
                <w:szCs w:val="20"/>
              </w:rPr>
              <w:t xml:space="preserve">with </w:t>
            </w:r>
            <w:r w:rsidR="00075852">
              <w:rPr>
                <w:rFonts w:cs="Arial"/>
                <w:szCs w:val="20"/>
              </w:rPr>
              <w:t xml:space="preserve">advanced </w:t>
            </w:r>
            <w:r w:rsidR="00AB2224">
              <w:rPr>
                <w:rFonts w:cs="Arial"/>
                <w:szCs w:val="20"/>
              </w:rPr>
              <w:t>mitigation and protection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BC1039" w14:paraId="4E73133E" w14:textId="77777777" w:rsidTr="00BC1039">
        <w:tc>
          <w:tcPr>
            <w:tcW w:w="4675" w:type="dxa"/>
          </w:tcPr>
          <w:p w14:paraId="30101FFE" w14:textId="76432DB2" w:rsidR="00BC1039" w:rsidRPr="003B3E92" w:rsidRDefault="005B4F9C" w:rsidP="003B3E92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Regular Patching</w:t>
            </w:r>
          </w:p>
        </w:tc>
        <w:tc>
          <w:tcPr>
            <w:tcW w:w="4675" w:type="dxa"/>
          </w:tcPr>
          <w:p w14:paraId="75A823D2" w14:textId="62859034" w:rsidR="00BC1039" w:rsidRPr="005B4F9C" w:rsidRDefault="005B4F9C" w:rsidP="003B3391">
            <w:pPr>
              <w:spacing w:after="200" w:line="276" w:lineRule="auto"/>
              <w:rPr>
                <w:rFonts w:cs="Arial"/>
                <w:szCs w:val="20"/>
              </w:rPr>
            </w:pPr>
            <w:r w:rsidRPr="005B4F9C">
              <w:rPr>
                <w:rFonts w:cs="Arial"/>
                <w:szCs w:val="20"/>
              </w:rPr>
              <w:t>By regularly patching</w:t>
            </w:r>
            <w:r>
              <w:rPr>
                <w:rFonts w:cs="Arial"/>
                <w:szCs w:val="20"/>
              </w:rPr>
              <w:t xml:space="preserve"> and</w:t>
            </w:r>
            <w:r w:rsidRPr="005B4F9C">
              <w:rPr>
                <w:rFonts w:cs="Arial"/>
                <w:szCs w:val="20"/>
              </w:rPr>
              <w:t xml:space="preserve"> infrastructure and installing new software versions, </w:t>
            </w:r>
            <w:r>
              <w:rPr>
                <w:rFonts w:cs="Arial"/>
                <w:szCs w:val="20"/>
              </w:rPr>
              <w:t xml:space="preserve">it is possible to close doors to attackers that utilized loopholes in outdated systems to launch DoS attacks. </w:t>
            </w:r>
          </w:p>
        </w:tc>
      </w:tr>
      <w:tr w:rsidR="00BC1039" w14:paraId="698C5066" w14:textId="77777777" w:rsidTr="00BC1039">
        <w:tc>
          <w:tcPr>
            <w:tcW w:w="4675" w:type="dxa"/>
          </w:tcPr>
          <w:p w14:paraId="2FB6175A" w14:textId="55BA167B" w:rsidR="00BC1039" w:rsidRPr="003B3E92" w:rsidRDefault="00E0534B" w:rsidP="003B3E92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Security Awareness</w:t>
            </w:r>
          </w:p>
        </w:tc>
        <w:tc>
          <w:tcPr>
            <w:tcW w:w="4675" w:type="dxa"/>
          </w:tcPr>
          <w:p w14:paraId="77AAABC3" w14:textId="6440DBC0" w:rsidR="00BC1039" w:rsidRPr="006B449F" w:rsidRDefault="006B449F" w:rsidP="003B3391">
            <w:pPr>
              <w:spacing w:after="200" w:line="276" w:lineRule="auto"/>
              <w:rPr>
                <w:rFonts w:cs="Arial"/>
                <w:szCs w:val="20"/>
              </w:rPr>
            </w:pPr>
            <w:r w:rsidRPr="006B449F">
              <w:rPr>
                <w:rFonts w:cs="Arial"/>
                <w:szCs w:val="20"/>
              </w:rPr>
              <w:t xml:space="preserve">Engaging in strong security practices can keep business networks from being compromised. Secure practices </w:t>
            </w:r>
            <w:r w:rsidR="00404703">
              <w:rPr>
                <w:rFonts w:cs="Arial"/>
                <w:szCs w:val="20"/>
              </w:rPr>
              <w:t xml:space="preserve">such as </w:t>
            </w:r>
            <w:r w:rsidRPr="006B449F">
              <w:rPr>
                <w:rFonts w:cs="Arial"/>
                <w:szCs w:val="20"/>
              </w:rPr>
              <w:t>complex passwords that change on a regular basis, anti-phishing methods, and secure firewalls that allow little outside traffic</w:t>
            </w:r>
            <w:r w:rsidR="00404703">
              <w:rPr>
                <w:rFonts w:cs="Arial"/>
                <w:szCs w:val="20"/>
              </w:rPr>
              <w:t xml:space="preserve"> </w:t>
            </w:r>
            <w:r w:rsidR="00E0534B">
              <w:rPr>
                <w:rFonts w:cs="Arial"/>
                <w:szCs w:val="20"/>
              </w:rPr>
              <w:t xml:space="preserve">all provide </w:t>
            </w:r>
            <w:r w:rsidRPr="006B449F">
              <w:rPr>
                <w:rFonts w:cs="Arial"/>
                <w:szCs w:val="20"/>
              </w:rPr>
              <w:t>a critical security foundation.</w:t>
            </w:r>
          </w:p>
        </w:tc>
      </w:tr>
      <w:tr w:rsidR="00BC1039" w14:paraId="3DA30106" w14:textId="77777777" w:rsidTr="00BC1039">
        <w:tc>
          <w:tcPr>
            <w:tcW w:w="4675" w:type="dxa"/>
          </w:tcPr>
          <w:p w14:paraId="46F53CEF" w14:textId="62807924" w:rsidR="00BC1039" w:rsidRPr="003B3E92" w:rsidRDefault="003B3E92" w:rsidP="003B3E92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Security Checklist</w:t>
            </w:r>
            <w:r w:rsidR="00BD4D1C">
              <w:rPr>
                <w:rFonts w:cs="Arial"/>
              </w:rPr>
              <w:t>s</w:t>
            </w:r>
          </w:p>
        </w:tc>
        <w:tc>
          <w:tcPr>
            <w:tcW w:w="4675" w:type="dxa"/>
          </w:tcPr>
          <w:p w14:paraId="492F7B89" w14:textId="48C9DFD9" w:rsidR="00BC1039" w:rsidRPr="003B3391" w:rsidRDefault="003B3391" w:rsidP="003B3391">
            <w:pPr>
              <w:spacing w:after="200" w:line="276" w:lineRule="auto"/>
              <w:rPr>
                <w:rFonts w:cs="Arial"/>
                <w:szCs w:val="20"/>
              </w:rPr>
            </w:pPr>
            <w:r w:rsidRPr="003B3391">
              <w:rPr>
                <w:rFonts w:cs="Arial"/>
                <w:szCs w:val="20"/>
              </w:rPr>
              <w:t xml:space="preserve">Incorporate into a security checklist the assumption that you may become a victim of a DoS attack since every communication is vulnerable to such attack. This mechanism allows the maintenance of effective security overtime despite </w:t>
            </w:r>
            <w:r w:rsidR="00AC0686">
              <w:rPr>
                <w:rFonts w:cs="Arial"/>
                <w:szCs w:val="20"/>
              </w:rPr>
              <w:t xml:space="preserve">any </w:t>
            </w:r>
            <w:r w:rsidRPr="003B3391">
              <w:rPr>
                <w:rFonts w:cs="Arial"/>
                <w:szCs w:val="20"/>
              </w:rPr>
              <w:t xml:space="preserve">change, accidents, and human nature. </w:t>
            </w:r>
          </w:p>
        </w:tc>
      </w:tr>
    </w:tbl>
    <w:bookmarkEnd w:id="0"/>
    <w:p w14:paraId="7BA63BED" w14:textId="6109D161" w:rsidR="00FC6CB3" w:rsidRPr="00BC1039" w:rsidRDefault="00BC1039" w:rsidP="00BC1039">
      <w:pPr>
        <w:spacing w:after="200" w:line="276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</w:rPr>
        <w:t xml:space="preserve"> </w:t>
      </w:r>
      <w:r w:rsidR="00D50F21">
        <w:rPr>
          <w:rFonts w:cs="Arial"/>
          <w:b/>
          <w:bCs/>
        </w:rPr>
        <w:br w:type="page"/>
      </w:r>
    </w:p>
    <w:p w14:paraId="3355EA3C" w14:textId="77777777" w:rsidR="005960B4" w:rsidRDefault="00834098" w:rsidP="008452CF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List and explain</w:t>
      </w:r>
      <w:r w:rsidR="00D50F21">
        <w:rPr>
          <w:rFonts w:cs="Arial"/>
          <w:b/>
          <w:bCs/>
        </w:rPr>
        <w:t xml:space="preserve"> 5 different security controls that should be implemented in order to secure guest wireless access</w:t>
      </w:r>
      <w:r>
        <w:rPr>
          <w:rFonts w:cs="Arial"/>
          <w:b/>
          <w:bCs/>
        </w:rPr>
        <w:t xml:space="preserve"> to the Internet from</w:t>
      </w:r>
      <w:r w:rsidR="00D50F21">
        <w:rPr>
          <w:rFonts w:cs="Arial"/>
          <w:b/>
          <w:bCs/>
        </w:rPr>
        <w:t xml:space="preserve"> inside a corporate office.</w:t>
      </w:r>
    </w:p>
    <w:p w14:paraId="0207D272" w14:textId="77777777" w:rsidR="003D5D8D" w:rsidRPr="0010411B" w:rsidRDefault="003D5D8D">
      <w:pPr>
        <w:rPr>
          <w:szCs w:val="20"/>
        </w:rPr>
      </w:pPr>
    </w:p>
    <w:p w14:paraId="19475A75" w14:textId="37C24421" w:rsidR="00BC1039" w:rsidRPr="0010411B" w:rsidRDefault="00BC1039" w:rsidP="00BC1039">
      <w:pPr>
        <w:pStyle w:val="ListParagraph"/>
        <w:spacing w:line="360" w:lineRule="auto"/>
        <w:ind w:left="360"/>
        <w:rPr>
          <w:rFonts w:cs="Arial"/>
        </w:rPr>
      </w:pPr>
      <w:r w:rsidRPr="0010411B">
        <w:rPr>
          <w:rFonts w:cs="Arial"/>
        </w:rPr>
        <w:t xml:space="preserve">Five different security controls that should be implemented to secure guest witless access to the internet from inside a corporate office is summarized in the table below. </w:t>
      </w:r>
    </w:p>
    <w:tbl>
      <w:tblPr>
        <w:tblStyle w:val="TableGrid"/>
        <w:tblpPr w:leftFromText="180" w:rightFromText="180" w:vertAnchor="text" w:horzAnchor="margin" w:tblpY="33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1039" w:rsidRPr="00BC1039" w14:paraId="5AC6F56B" w14:textId="77777777" w:rsidTr="00BC1039">
        <w:tc>
          <w:tcPr>
            <w:tcW w:w="4675" w:type="dxa"/>
          </w:tcPr>
          <w:p w14:paraId="53D70057" w14:textId="77777777" w:rsidR="00BC1039" w:rsidRPr="00BC1039" w:rsidRDefault="00BC1039" w:rsidP="00BC1039">
            <w:pPr>
              <w:pStyle w:val="ISSAAssessHead"/>
              <w:rPr>
                <w:bCs/>
                <w:sz w:val="22"/>
                <w:szCs w:val="22"/>
              </w:rPr>
            </w:pPr>
            <w:r w:rsidRPr="00BC1039">
              <w:rPr>
                <w:bCs/>
                <w:sz w:val="22"/>
                <w:szCs w:val="22"/>
              </w:rPr>
              <w:t>List of Security Controls</w:t>
            </w:r>
          </w:p>
        </w:tc>
        <w:tc>
          <w:tcPr>
            <w:tcW w:w="4675" w:type="dxa"/>
          </w:tcPr>
          <w:p w14:paraId="7A34E876" w14:textId="77777777" w:rsidR="00BC1039" w:rsidRPr="00BC1039" w:rsidRDefault="00BC1039" w:rsidP="00BC1039">
            <w:pPr>
              <w:pStyle w:val="ISSAAssessHead"/>
              <w:rPr>
                <w:bCs/>
                <w:sz w:val="22"/>
                <w:szCs w:val="22"/>
              </w:rPr>
            </w:pPr>
            <w:r w:rsidRPr="00BC1039">
              <w:rPr>
                <w:bCs/>
                <w:sz w:val="22"/>
                <w:szCs w:val="22"/>
              </w:rPr>
              <w:t>Explanation of Security Controls</w:t>
            </w:r>
          </w:p>
        </w:tc>
      </w:tr>
      <w:tr w:rsidR="00BC1039" w:rsidRPr="00BC1039" w14:paraId="2EA3A462" w14:textId="77777777" w:rsidTr="00BC1039">
        <w:tc>
          <w:tcPr>
            <w:tcW w:w="4675" w:type="dxa"/>
          </w:tcPr>
          <w:p w14:paraId="1DC20222" w14:textId="52466A14" w:rsidR="00BC1039" w:rsidRPr="00BC1039" w:rsidRDefault="00652C86" w:rsidP="00BC1039">
            <w:pPr>
              <w:pStyle w:val="ISSAAssessHead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 w:rsidRPr="0010411B">
              <w:rPr>
                <w:b w:val="0"/>
                <w:sz w:val="20"/>
                <w:szCs w:val="20"/>
              </w:rPr>
              <w:t>Access Controls</w:t>
            </w:r>
          </w:p>
        </w:tc>
        <w:tc>
          <w:tcPr>
            <w:tcW w:w="4675" w:type="dxa"/>
          </w:tcPr>
          <w:p w14:paraId="0A70532C" w14:textId="11B08AAE" w:rsidR="00BC1039" w:rsidRPr="0010411B" w:rsidRDefault="00652C86" w:rsidP="00BC1039">
            <w:pPr>
              <w:pStyle w:val="ISSAAssessHead"/>
              <w:rPr>
                <w:b w:val="0"/>
                <w:sz w:val="20"/>
                <w:szCs w:val="20"/>
              </w:rPr>
            </w:pPr>
            <w:r w:rsidRPr="0010411B">
              <w:rPr>
                <w:b w:val="0"/>
                <w:sz w:val="20"/>
                <w:szCs w:val="20"/>
              </w:rPr>
              <w:t xml:space="preserve">Only allow authorized individuals to access the guest network. Additionally, restrict access to the network by filtering devices based on their MAC address. </w:t>
            </w:r>
          </w:p>
          <w:p w14:paraId="36D89A49" w14:textId="0D662FE2" w:rsidR="00652C86" w:rsidRPr="00BC1039" w:rsidRDefault="00652C86" w:rsidP="00BC1039">
            <w:pPr>
              <w:pStyle w:val="ISSAAssessHead"/>
              <w:rPr>
                <w:b w:val="0"/>
                <w:sz w:val="20"/>
                <w:szCs w:val="20"/>
              </w:rPr>
            </w:pPr>
            <w:r w:rsidRPr="0010411B">
              <w:rPr>
                <w:b w:val="0"/>
                <w:sz w:val="20"/>
                <w:szCs w:val="20"/>
              </w:rPr>
              <w:t xml:space="preserve">Furthermore, </w:t>
            </w:r>
            <w:r w:rsidRPr="0010411B">
              <w:rPr>
                <w:rFonts w:ascii="Source Sans Pro" w:eastAsia="Times New Roman" w:hAnsi="Source Sans Pro" w:cs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10411B">
              <w:rPr>
                <w:b w:val="0"/>
                <w:sz w:val="20"/>
                <w:szCs w:val="20"/>
              </w:rPr>
              <w:t xml:space="preserve">grant wireless access to guests on a separate wireless channel with a </w:t>
            </w:r>
            <w:r w:rsidR="00496AA5">
              <w:rPr>
                <w:b w:val="0"/>
                <w:sz w:val="20"/>
                <w:szCs w:val="20"/>
              </w:rPr>
              <w:t xml:space="preserve">different </w:t>
            </w:r>
            <w:r w:rsidRPr="0010411B">
              <w:rPr>
                <w:b w:val="0"/>
                <w:sz w:val="20"/>
                <w:szCs w:val="20"/>
              </w:rPr>
              <w:t>password, while maintaining the privacy of your primary credentials.</w:t>
            </w:r>
          </w:p>
        </w:tc>
      </w:tr>
      <w:tr w:rsidR="00BC1039" w:rsidRPr="00BC1039" w14:paraId="1AF78884" w14:textId="77777777" w:rsidTr="00BC1039">
        <w:tc>
          <w:tcPr>
            <w:tcW w:w="4675" w:type="dxa"/>
          </w:tcPr>
          <w:p w14:paraId="56E6107A" w14:textId="218E7953" w:rsidR="00BC1039" w:rsidRPr="00BC1039" w:rsidRDefault="00652C86" w:rsidP="00BC1039">
            <w:pPr>
              <w:pStyle w:val="ISSAAssessHead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 w:rsidRPr="0010411B">
              <w:rPr>
                <w:b w:val="0"/>
                <w:sz w:val="20"/>
                <w:szCs w:val="20"/>
              </w:rPr>
              <w:t xml:space="preserve">Encryption </w:t>
            </w:r>
          </w:p>
        </w:tc>
        <w:tc>
          <w:tcPr>
            <w:tcW w:w="4675" w:type="dxa"/>
          </w:tcPr>
          <w:p w14:paraId="53130018" w14:textId="41154710" w:rsidR="00BC1039" w:rsidRPr="00BC1039" w:rsidRDefault="00652C86" w:rsidP="00BC1039">
            <w:pPr>
              <w:pStyle w:val="ISSAAssessHead"/>
              <w:rPr>
                <w:b w:val="0"/>
                <w:sz w:val="20"/>
                <w:szCs w:val="20"/>
              </w:rPr>
            </w:pPr>
            <w:r w:rsidRPr="0010411B">
              <w:rPr>
                <w:b w:val="0"/>
                <w:sz w:val="20"/>
                <w:szCs w:val="20"/>
              </w:rPr>
              <w:t>Encrypt wireless data using encryption protocols such as</w:t>
            </w:r>
            <w:r w:rsidR="0010411B" w:rsidRPr="0010411B">
              <w:rPr>
                <w:b w:val="0"/>
                <w:sz w:val="20"/>
                <w:szCs w:val="20"/>
              </w:rPr>
              <w:t xml:space="preserve"> Wireless Protected Access (</w:t>
            </w:r>
            <w:r w:rsidRPr="0010411B">
              <w:rPr>
                <w:b w:val="0"/>
                <w:sz w:val="20"/>
                <w:szCs w:val="20"/>
              </w:rPr>
              <w:t>WPA2 and WPA3</w:t>
            </w:r>
            <w:r w:rsidR="0010411B" w:rsidRPr="0010411B">
              <w:rPr>
                <w:b w:val="0"/>
                <w:sz w:val="20"/>
                <w:szCs w:val="20"/>
              </w:rPr>
              <w:t>)</w:t>
            </w:r>
            <w:r w:rsidRPr="0010411B">
              <w:rPr>
                <w:b w:val="0"/>
                <w:sz w:val="20"/>
                <w:szCs w:val="20"/>
              </w:rPr>
              <w:t xml:space="preserve"> to prevent anyone who might be able to access your network from viewing it. </w:t>
            </w:r>
          </w:p>
        </w:tc>
      </w:tr>
      <w:tr w:rsidR="00BC1039" w:rsidRPr="00BC1039" w14:paraId="14B6FBCE" w14:textId="77777777" w:rsidTr="00BC1039">
        <w:tc>
          <w:tcPr>
            <w:tcW w:w="4675" w:type="dxa"/>
          </w:tcPr>
          <w:p w14:paraId="253CE3BB" w14:textId="350436E3" w:rsidR="00BC1039" w:rsidRPr="00BC1039" w:rsidRDefault="009C2019" w:rsidP="00BC1039">
            <w:pPr>
              <w:pStyle w:val="ISSAAssessHead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 w:rsidRPr="0010411B">
              <w:rPr>
                <w:b w:val="0"/>
                <w:sz w:val="20"/>
                <w:szCs w:val="20"/>
              </w:rPr>
              <w:t>Protect the Service Set Identifier (SSID)</w:t>
            </w:r>
          </w:p>
        </w:tc>
        <w:tc>
          <w:tcPr>
            <w:tcW w:w="4675" w:type="dxa"/>
          </w:tcPr>
          <w:p w14:paraId="66E81939" w14:textId="77777777" w:rsidR="009C2019" w:rsidRPr="0010411B" w:rsidRDefault="009C2019" w:rsidP="00BC1039">
            <w:pPr>
              <w:pStyle w:val="ISSAAssessHead"/>
              <w:rPr>
                <w:b w:val="0"/>
                <w:sz w:val="20"/>
                <w:szCs w:val="20"/>
              </w:rPr>
            </w:pPr>
            <w:r w:rsidRPr="0010411B">
              <w:rPr>
                <w:b w:val="0"/>
                <w:sz w:val="20"/>
                <w:szCs w:val="20"/>
              </w:rPr>
              <w:t xml:space="preserve">Avoid publicizing the SSID. </w:t>
            </w:r>
            <w:r w:rsidRPr="0010411B">
              <w:rPr>
                <w:rFonts w:ascii="Source Sans Pro" w:eastAsia="Times New Roman" w:hAnsi="Source Sans Pro" w:cs="Times New Roman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10411B">
              <w:rPr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That is, </w:t>
            </w:r>
            <w:r w:rsidRPr="0010411B">
              <w:rPr>
                <w:b w:val="0"/>
                <w:sz w:val="20"/>
                <w:szCs w:val="20"/>
              </w:rPr>
              <w:t>Wi-Fi routers allow users to protect their device’s SSID, which makes it more difficult for attackers to find the network.</w:t>
            </w:r>
          </w:p>
          <w:p w14:paraId="2BF9441E" w14:textId="47A0E05F" w:rsidR="00BC1039" w:rsidRPr="00BC1039" w:rsidRDefault="009C2019" w:rsidP="00BC1039">
            <w:pPr>
              <w:pStyle w:val="ISSAAssessHead"/>
              <w:rPr>
                <w:bCs/>
                <w:sz w:val="20"/>
                <w:szCs w:val="20"/>
              </w:rPr>
            </w:pPr>
            <w:r w:rsidRPr="0010411B">
              <w:rPr>
                <w:b w:val="0"/>
                <w:sz w:val="20"/>
                <w:szCs w:val="20"/>
              </w:rPr>
              <w:t>Additionally, change default SSID to avoid any potential attacker from identifying the type of router and possibly exploiting vulnerabilities.</w:t>
            </w:r>
          </w:p>
        </w:tc>
      </w:tr>
      <w:tr w:rsidR="00BC1039" w:rsidRPr="00BC1039" w14:paraId="321C5578" w14:textId="77777777" w:rsidTr="00BC1039">
        <w:tc>
          <w:tcPr>
            <w:tcW w:w="4675" w:type="dxa"/>
          </w:tcPr>
          <w:p w14:paraId="4AE6DD8F" w14:textId="48C805A6" w:rsidR="00BC1039" w:rsidRPr="00BC1039" w:rsidRDefault="0069365B" w:rsidP="00BC1039">
            <w:pPr>
              <w:pStyle w:val="ISSAAssessHead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 w:rsidRPr="0010411B">
              <w:rPr>
                <w:b w:val="0"/>
                <w:sz w:val="20"/>
                <w:szCs w:val="20"/>
              </w:rPr>
              <w:t>Firewall</w:t>
            </w:r>
          </w:p>
        </w:tc>
        <w:tc>
          <w:tcPr>
            <w:tcW w:w="4675" w:type="dxa"/>
          </w:tcPr>
          <w:p w14:paraId="15CE9AFB" w14:textId="11DFAF5F" w:rsidR="00BC1039" w:rsidRPr="00BC1039" w:rsidRDefault="00306C2D" w:rsidP="00BC1039">
            <w:pPr>
              <w:pStyle w:val="ISSAAssessHead"/>
              <w:rPr>
                <w:b w:val="0"/>
                <w:sz w:val="20"/>
                <w:szCs w:val="20"/>
              </w:rPr>
            </w:pPr>
            <w:r w:rsidRPr="0010411B">
              <w:rPr>
                <w:b w:val="0"/>
                <w:sz w:val="20"/>
                <w:szCs w:val="20"/>
              </w:rPr>
              <w:t xml:space="preserve">Install a firewall directly on the wireless devices (a host-based firewall). That is, attackers who can directly tap into the wireless network may be able to circumvent the network </w:t>
            </w:r>
            <w:r w:rsidR="0010411B" w:rsidRPr="0010411B">
              <w:rPr>
                <w:b w:val="0"/>
                <w:sz w:val="20"/>
                <w:szCs w:val="20"/>
              </w:rPr>
              <w:t>firewall,</w:t>
            </w:r>
            <w:r w:rsidRPr="0010411B">
              <w:rPr>
                <w:b w:val="0"/>
                <w:sz w:val="20"/>
                <w:szCs w:val="20"/>
              </w:rPr>
              <w:t xml:space="preserve"> but a host-based firewall will add a layer of protection to the data on the computer. </w:t>
            </w:r>
          </w:p>
        </w:tc>
      </w:tr>
      <w:tr w:rsidR="00BC1039" w:rsidRPr="00BC1039" w14:paraId="7DEC33CB" w14:textId="77777777" w:rsidTr="00BC1039">
        <w:tc>
          <w:tcPr>
            <w:tcW w:w="4675" w:type="dxa"/>
          </w:tcPr>
          <w:p w14:paraId="04079E9C" w14:textId="1F7213B4" w:rsidR="00BC1039" w:rsidRPr="00BC1039" w:rsidRDefault="0010411B" w:rsidP="00BC1039">
            <w:pPr>
              <w:pStyle w:val="ISSAAssessHead"/>
              <w:numPr>
                <w:ilvl w:val="0"/>
                <w:numId w:val="18"/>
              </w:numPr>
              <w:rPr>
                <w:b w:val="0"/>
                <w:bCs/>
                <w:sz w:val="20"/>
                <w:szCs w:val="20"/>
              </w:rPr>
            </w:pPr>
            <w:r w:rsidRPr="0010411B">
              <w:rPr>
                <w:b w:val="0"/>
                <w:bCs/>
                <w:sz w:val="20"/>
                <w:szCs w:val="20"/>
              </w:rPr>
              <w:t>Regular Patching</w:t>
            </w:r>
          </w:p>
        </w:tc>
        <w:tc>
          <w:tcPr>
            <w:tcW w:w="4675" w:type="dxa"/>
          </w:tcPr>
          <w:p w14:paraId="29C396E0" w14:textId="5B0E7C67" w:rsidR="003420A9" w:rsidRPr="003420A9" w:rsidRDefault="003420A9" w:rsidP="00BC1039">
            <w:pPr>
              <w:pStyle w:val="ISSAAssessHead"/>
              <w:rPr>
                <w:b w:val="0"/>
                <w:sz w:val="20"/>
                <w:szCs w:val="20"/>
              </w:rPr>
            </w:pPr>
            <w:r w:rsidRPr="003420A9">
              <w:rPr>
                <w:b w:val="0"/>
                <w:sz w:val="20"/>
                <w:szCs w:val="20"/>
              </w:rPr>
              <w:t xml:space="preserve">Keep your access point software patched and up to date. The manufacturer of the wireless access point will periodically release updates to and patches for a device’s software and firmware. </w:t>
            </w:r>
          </w:p>
          <w:p w14:paraId="335C7B1F" w14:textId="289FB230" w:rsidR="00BC1039" w:rsidRPr="00BC1039" w:rsidRDefault="003420A9" w:rsidP="00BC1039">
            <w:pPr>
              <w:pStyle w:val="ISSAAssessHead"/>
              <w:rPr>
                <w:b w:val="0"/>
                <w:sz w:val="20"/>
                <w:szCs w:val="20"/>
              </w:rPr>
            </w:pPr>
            <w:r w:rsidRPr="003420A9">
              <w:rPr>
                <w:b w:val="0"/>
                <w:sz w:val="20"/>
                <w:szCs w:val="20"/>
              </w:rPr>
              <w:t>Be sure to check the manufacturer’s website regularly for any updates or patches for the device.</w:t>
            </w:r>
          </w:p>
        </w:tc>
      </w:tr>
    </w:tbl>
    <w:p w14:paraId="2AE4104C" w14:textId="513B6885" w:rsidR="00BC1039" w:rsidRDefault="00BC1039" w:rsidP="003D5D8D">
      <w:pPr>
        <w:pStyle w:val="ISSAAssessHead"/>
      </w:pPr>
      <w:r>
        <w:t xml:space="preserve">     </w:t>
      </w:r>
    </w:p>
    <w:p w14:paraId="32AC8C57" w14:textId="77777777" w:rsidR="00BC1039" w:rsidRDefault="00BC1039" w:rsidP="003D5D8D">
      <w:pPr>
        <w:pStyle w:val="ISSAAssessHead"/>
      </w:pPr>
      <w:r>
        <w:t xml:space="preserve">     </w:t>
      </w:r>
    </w:p>
    <w:p w14:paraId="6BFD5CBF" w14:textId="7DB4D962" w:rsidR="00591636" w:rsidRPr="00591636" w:rsidRDefault="00591636" w:rsidP="003D5D8D">
      <w:pPr>
        <w:pStyle w:val="ISSAAssessHead"/>
        <w:rPr>
          <w:b w:val="0"/>
          <w:bCs/>
          <w:sz w:val="24"/>
          <w:szCs w:val="24"/>
        </w:rPr>
      </w:pPr>
      <w:bookmarkStart w:id="1" w:name="_GoBack"/>
      <w:bookmarkEnd w:id="1"/>
    </w:p>
    <w:sectPr w:rsidR="00591636" w:rsidRPr="00591636" w:rsidSect="001A76FF"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29D4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63F0"/>
    <w:multiLevelType w:val="hybridMultilevel"/>
    <w:tmpl w:val="21041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120F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3F6A"/>
    <w:multiLevelType w:val="hybridMultilevel"/>
    <w:tmpl w:val="AF84D4E0"/>
    <w:lvl w:ilvl="0" w:tplc="FC6A0A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901088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B611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E3D6A"/>
    <w:multiLevelType w:val="hybridMultilevel"/>
    <w:tmpl w:val="AD808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16E0490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B579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467F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93B7B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B6F02"/>
    <w:multiLevelType w:val="hybridMultilevel"/>
    <w:tmpl w:val="C0F4E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436AE"/>
    <w:multiLevelType w:val="hybridMultilevel"/>
    <w:tmpl w:val="96F25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42CBA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05727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42530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F27AA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13BB5"/>
    <w:multiLevelType w:val="hybridMultilevel"/>
    <w:tmpl w:val="96F25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639B6"/>
    <w:multiLevelType w:val="hybridMultilevel"/>
    <w:tmpl w:val="F710D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9"/>
  </w:num>
  <w:num w:numId="5">
    <w:abstractNumId w:val="13"/>
  </w:num>
  <w:num w:numId="6">
    <w:abstractNumId w:val="4"/>
  </w:num>
  <w:num w:numId="7">
    <w:abstractNumId w:val="15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  <w:num w:numId="12">
    <w:abstractNumId w:val="14"/>
  </w:num>
  <w:num w:numId="13">
    <w:abstractNumId w:val="5"/>
  </w:num>
  <w:num w:numId="14">
    <w:abstractNumId w:val="10"/>
  </w:num>
  <w:num w:numId="15">
    <w:abstractNumId w:val="3"/>
  </w:num>
  <w:num w:numId="16">
    <w:abstractNumId w:val="11"/>
  </w:num>
  <w:num w:numId="17">
    <w:abstractNumId w:val="17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FF"/>
    <w:rsid w:val="00007283"/>
    <w:rsid w:val="0001779A"/>
    <w:rsid w:val="00046CA8"/>
    <w:rsid w:val="000528B0"/>
    <w:rsid w:val="00075852"/>
    <w:rsid w:val="00093715"/>
    <w:rsid w:val="000A6256"/>
    <w:rsid w:val="000B70E2"/>
    <w:rsid w:val="000C1B24"/>
    <w:rsid w:val="000E1155"/>
    <w:rsid w:val="0010411B"/>
    <w:rsid w:val="00127081"/>
    <w:rsid w:val="00146937"/>
    <w:rsid w:val="001A76FF"/>
    <w:rsid w:val="001D37A7"/>
    <w:rsid w:val="001F71A6"/>
    <w:rsid w:val="00245DAE"/>
    <w:rsid w:val="00247487"/>
    <w:rsid w:val="00267EAA"/>
    <w:rsid w:val="002B6FDC"/>
    <w:rsid w:val="002C5249"/>
    <w:rsid w:val="002E7F89"/>
    <w:rsid w:val="00306C2D"/>
    <w:rsid w:val="00325644"/>
    <w:rsid w:val="003420A9"/>
    <w:rsid w:val="00387012"/>
    <w:rsid w:val="003B3391"/>
    <w:rsid w:val="003B3E92"/>
    <w:rsid w:val="003C0039"/>
    <w:rsid w:val="003D5D8D"/>
    <w:rsid w:val="003D64EC"/>
    <w:rsid w:val="00404703"/>
    <w:rsid w:val="0041228D"/>
    <w:rsid w:val="004714BC"/>
    <w:rsid w:val="00496AA5"/>
    <w:rsid w:val="004A65FC"/>
    <w:rsid w:val="004F5DE4"/>
    <w:rsid w:val="00504EC9"/>
    <w:rsid w:val="00555B2C"/>
    <w:rsid w:val="00591636"/>
    <w:rsid w:val="005960B4"/>
    <w:rsid w:val="005B4F9C"/>
    <w:rsid w:val="006353C5"/>
    <w:rsid w:val="00652C86"/>
    <w:rsid w:val="00666050"/>
    <w:rsid w:val="00672678"/>
    <w:rsid w:val="00676C32"/>
    <w:rsid w:val="00676DAE"/>
    <w:rsid w:val="0069365B"/>
    <w:rsid w:val="006A7FEE"/>
    <w:rsid w:val="006B449F"/>
    <w:rsid w:val="006C3652"/>
    <w:rsid w:val="006E20D6"/>
    <w:rsid w:val="006E6FFF"/>
    <w:rsid w:val="0077611C"/>
    <w:rsid w:val="007B6116"/>
    <w:rsid w:val="007E2458"/>
    <w:rsid w:val="008171E1"/>
    <w:rsid w:val="008234A1"/>
    <w:rsid w:val="00834098"/>
    <w:rsid w:val="008452CF"/>
    <w:rsid w:val="00877024"/>
    <w:rsid w:val="008E5E51"/>
    <w:rsid w:val="0096046A"/>
    <w:rsid w:val="0096253E"/>
    <w:rsid w:val="009C2019"/>
    <w:rsid w:val="00A817ED"/>
    <w:rsid w:val="00A82857"/>
    <w:rsid w:val="00A91E08"/>
    <w:rsid w:val="00AB2224"/>
    <w:rsid w:val="00AB5131"/>
    <w:rsid w:val="00AC0686"/>
    <w:rsid w:val="00AD3131"/>
    <w:rsid w:val="00AD357E"/>
    <w:rsid w:val="00B16DEB"/>
    <w:rsid w:val="00B33F11"/>
    <w:rsid w:val="00B5552D"/>
    <w:rsid w:val="00B821D6"/>
    <w:rsid w:val="00BB49A3"/>
    <w:rsid w:val="00BC1039"/>
    <w:rsid w:val="00BC2F6C"/>
    <w:rsid w:val="00BD4D1C"/>
    <w:rsid w:val="00BF1CFC"/>
    <w:rsid w:val="00BF70A1"/>
    <w:rsid w:val="00C814BD"/>
    <w:rsid w:val="00C861D5"/>
    <w:rsid w:val="00C92CF5"/>
    <w:rsid w:val="00CB58C3"/>
    <w:rsid w:val="00CC425D"/>
    <w:rsid w:val="00CE765B"/>
    <w:rsid w:val="00D50F21"/>
    <w:rsid w:val="00D87D04"/>
    <w:rsid w:val="00DA0EC9"/>
    <w:rsid w:val="00E0534B"/>
    <w:rsid w:val="00E24CAB"/>
    <w:rsid w:val="00E44FDE"/>
    <w:rsid w:val="00EB1FAD"/>
    <w:rsid w:val="00F457FE"/>
    <w:rsid w:val="00F72DD0"/>
    <w:rsid w:val="00F84F7B"/>
    <w:rsid w:val="00FC6CB3"/>
    <w:rsid w:val="00F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D751"/>
  <w15:docId w15:val="{4B9E55EF-932E-4F9B-9815-E0ED3A34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F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A76FF"/>
    <w:pPr>
      <w:spacing w:line="360" w:lineRule="auto"/>
      <w:outlineLvl w:val="1"/>
    </w:pPr>
    <w:rPr>
      <w:rFonts w:cs="Arial"/>
      <w:b/>
      <w:bCs/>
      <w:color w:val="0072D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A76FF"/>
    <w:rPr>
      <w:rFonts w:ascii="Arial" w:eastAsia="Times New Roman" w:hAnsi="Arial" w:cs="Arial"/>
      <w:b/>
      <w:bCs/>
      <w:color w:val="0072DA"/>
      <w:sz w:val="24"/>
      <w:szCs w:val="24"/>
    </w:rPr>
  </w:style>
  <w:style w:type="paragraph" w:customStyle="1" w:styleId="Style2">
    <w:name w:val="Style 2"/>
    <w:basedOn w:val="Normal"/>
    <w:link w:val="Style2Char"/>
    <w:uiPriority w:val="99"/>
    <w:rsid w:val="001A76FF"/>
    <w:pPr>
      <w:spacing w:before="60" w:line="360" w:lineRule="auto"/>
    </w:pPr>
    <w:rPr>
      <w:b/>
      <w:bCs/>
    </w:rPr>
  </w:style>
  <w:style w:type="character" w:customStyle="1" w:styleId="Style2Char">
    <w:name w:val="Style 2 Char"/>
    <w:basedOn w:val="DefaultParagraphFont"/>
    <w:link w:val="Style2"/>
    <w:uiPriority w:val="99"/>
    <w:locked/>
    <w:rsid w:val="001A76FF"/>
    <w:rPr>
      <w:rFonts w:ascii="Arial" w:eastAsia="Times New Roman" w:hAnsi="Arial" w:cs="Times New Roman"/>
      <w:b/>
      <w:bCs/>
      <w:sz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A76FF"/>
    <w:pPr>
      <w:ind w:left="720"/>
    </w:pPr>
    <w:rPr>
      <w:rFonts w:cs="Tahoma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A76FF"/>
    <w:rPr>
      <w:rFonts w:ascii="Arial" w:eastAsia="Times New Roman" w:hAnsi="Arial" w:cs="Tahoma"/>
      <w:sz w:val="20"/>
      <w:szCs w:val="20"/>
    </w:rPr>
  </w:style>
  <w:style w:type="paragraph" w:customStyle="1" w:styleId="ISSAAssessHead">
    <w:name w:val="ISSA_AssessHead"/>
    <w:basedOn w:val="Normal"/>
    <w:link w:val="ISSAAssessHeadChar"/>
    <w:qFormat/>
    <w:rsid w:val="003D5D8D"/>
    <w:pPr>
      <w:spacing w:after="240"/>
    </w:pPr>
    <w:rPr>
      <w:rFonts w:eastAsiaTheme="minorEastAsia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3D5D8D"/>
    <w:rPr>
      <w:rFonts w:ascii="Arial" w:eastAsiaTheme="minorEastAsia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45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7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C1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Natnael kebede</cp:lastModifiedBy>
  <cp:revision>53</cp:revision>
  <dcterms:created xsi:type="dcterms:W3CDTF">2019-11-09T14:14:00Z</dcterms:created>
  <dcterms:modified xsi:type="dcterms:W3CDTF">2019-11-18T20:48:00Z</dcterms:modified>
</cp:coreProperties>
</file>