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5EECA" w14:textId="398DEB39" w:rsidR="008E07C3" w:rsidRPr="004217CB" w:rsidRDefault="00510392" w:rsidP="00123127">
      <w:pPr>
        <w:spacing w:line="480" w:lineRule="auto"/>
        <w:rPr>
          <w:b/>
          <w:sz w:val="20"/>
          <w:szCs w:val="20"/>
        </w:rPr>
      </w:pPr>
      <w:r w:rsidRPr="004217CB">
        <w:rPr>
          <w:b/>
          <w:sz w:val="20"/>
          <w:szCs w:val="20"/>
        </w:rPr>
        <w:t>Carbon Black</w:t>
      </w:r>
    </w:p>
    <w:p w14:paraId="348AA3B8" w14:textId="5B084E95" w:rsidR="008E07C3" w:rsidRPr="004217CB" w:rsidRDefault="00FF72D3" w:rsidP="00123127">
      <w:pPr>
        <w:spacing w:line="480" w:lineRule="auto"/>
        <w:rPr>
          <w:bCs/>
          <w:sz w:val="20"/>
          <w:szCs w:val="20"/>
        </w:rPr>
      </w:pPr>
      <w:r w:rsidRPr="004217CB">
        <w:rPr>
          <w:bCs/>
          <w:sz w:val="20"/>
          <w:szCs w:val="20"/>
        </w:rPr>
        <w:t xml:space="preserve">This cybersecurity company offers a next-generation antivirus (also known us VMware Carbon Black Cloud Endpoint Standard) for endpoint systems to enhance security on those systems and get better protection and visibility. </w:t>
      </w:r>
      <w:r w:rsidR="000A22D7" w:rsidRPr="004217CB">
        <w:rPr>
          <w:bCs/>
          <w:sz w:val="20"/>
          <w:szCs w:val="20"/>
        </w:rPr>
        <w:t>It is a</w:t>
      </w:r>
      <w:r w:rsidR="000A22D7" w:rsidRPr="004217CB">
        <w:rPr>
          <w:rFonts w:ascii="Cordia New" w:hAnsi="Cordia New" w:cs="Cordia New" w:hint="cs"/>
          <w:color w:val="444444"/>
          <w:sz w:val="20"/>
          <w:szCs w:val="20"/>
          <w:shd w:val="clear" w:color="auto" w:fill="FFFFFF"/>
        </w:rPr>
        <w:t xml:space="preserve"> </w:t>
      </w:r>
      <w:r w:rsidR="000A22D7" w:rsidRPr="004217CB">
        <w:rPr>
          <w:rFonts w:hint="cs"/>
          <w:bCs/>
          <w:sz w:val="20"/>
          <w:szCs w:val="20"/>
        </w:rPr>
        <w:t>software as a service (SaaS) solution that provides next-generation anti-virus (NGAV), endpoint detection and response (EDR), advanced threat hunting, and vulnerability management within a single console using a single sensor.</w:t>
      </w:r>
      <w:r w:rsidR="000A22D7" w:rsidRPr="004217CB">
        <w:rPr>
          <w:bCs/>
          <w:sz w:val="20"/>
          <w:szCs w:val="20"/>
        </w:rPr>
        <w:t xml:space="preserve"> </w:t>
      </w:r>
      <w:r w:rsidRPr="004217CB">
        <w:rPr>
          <w:bCs/>
          <w:sz w:val="20"/>
          <w:szCs w:val="20"/>
        </w:rPr>
        <w:t xml:space="preserve">The </w:t>
      </w:r>
      <w:r w:rsidRPr="004217CB">
        <w:rPr>
          <w:bCs/>
          <w:sz w:val="20"/>
          <w:szCs w:val="20"/>
        </w:rPr>
        <w:t>next-generation antivirus</w:t>
      </w:r>
      <w:r w:rsidRPr="004217CB">
        <w:rPr>
          <w:bCs/>
          <w:sz w:val="20"/>
          <w:szCs w:val="20"/>
        </w:rPr>
        <w:t xml:space="preserve"> replaces traditional antivirus </w:t>
      </w:r>
      <w:r w:rsidR="007F1BE5" w:rsidRPr="004217CB">
        <w:rPr>
          <w:bCs/>
          <w:sz w:val="20"/>
          <w:szCs w:val="20"/>
        </w:rPr>
        <w:t>solutions</w:t>
      </w:r>
      <w:r w:rsidRPr="004217CB">
        <w:rPr>
          <w:bCs/>
          <w:sz w:val="20"/>
          <w:szCs w:val="20"/>
        </w:rPr>
        <w:t xml:space="preserve"> </w:t>
      </w:r>
      <w:r w:rsidR="007F1BE5" w:rsidRPr="004217CB">
        <w:rPr>
          <w:bCs/>
          <w:sz w:val="20"/>
          <w:szCs w:val="20"/>
        </w:rPr>
        <w:t xml:space="preserve">due to its design for </w:t>
      </w:r>
      <w:r w:rsidR="007F1BE5" w:rsidRPr="004217CB">
        <w:rPr>
          <w:sz w:val="20"/>
          <w:szCs w:val="20"/>
        </w:rPr>
        <w:t>advanced malware protection</w:t>
      </w:r>
      <w:r w:rsidR="007F1BE5" w:rsidRPr="004217CB">
        <w:rPr>
          <w:bCs/>
          <w:sz w:val="20"/>
          <w:szCs w:val="20"/>
        </w:rPr>
        <w:t xml:space="preserve"> </w:t>
      </w:r>
      <w:r w:rsidRPr="004217CB">
        <w:rPr>
          <w:bCs/>
          <w:sz w:val="20"/>
          <w:szCs w:val="20"/>
        </w:rPr>
        <w:t>to</w:t>
      </w:r>
      <w:r w:rsidR="007F1BE5" w:rsidRPr="004217CB">
        <w:rPr>
          <w:bCs/>
          <w:sz w:val="20"/>
          <w:szCs w:val="20"/>
        </w:rPr>
        <w:t xml:space="preserve"> stop known and unknown attacks. Some of its</w:t>
      </w:r>
      <w:r w:rsidR="007F1BE5" w:rsidRPr="004217CB">
        <w:rPr>
          <w:sz w:val="20"/>
          <w:szCs w:val="20"/>
        </w:rPr>
        <w:t xml:space="preserve"> </w:t>
      </w:r>
      <w:r w:rsidR="008E07C3" w:rsidRPr="004217CB">
        <w:rPr>
          <w:sz w:val="20"/>
          <w:szCs w:val="20"/>
        </w:rPr>
        <w:t>capabilities includ</w:t>
      </w:r>
      <w:r w:rsidR="007F1BE5" w:rsidRPr="004217CB">
        <w:rPr>
          <w:sz w:val="20"/>
          <w:szCs w:val="20"/>
        </w:rPr>
        <w:t>e</w:t>
      </w:r>
      <w:r w:rsidR="008E07C3" w:rsidRPr="004217CB">
        <w:rPr>
          <w:sz w:val="20"/>
          <w:szCs w:val="20"/>
        </w:rPr>
        <w:t>:</w:t>
      </w:r>
    </w:p>
    <w:p w14:paraId="0B74DBBC" w14:textId="77777777" w:rsidR="00C96B33" w:rsidRPr="004217CB" w:rsidRDefault="007F1BE5" w:rsidP="00C96B33">
      <w:pPr>
        <w:numPr>
          <w:ilvl w:val="0"/>
          <w:numId w:val="1"/>
        </w:numPr>
        <w:spacing w:line="480" w:lineRule="auto"/>
        <w:rPr>
          <w:sz w:val="20"/>
          <w:szCs w:val="20"/>
        </w:rPr>
      </w:pPr>
      <w:r w:rsidRPr="004217CB">
        <w:rPr>
          <w:sz w:val="20"/>
          <w:szCs w:val="20"/>
        </w:rPr>
        <w:t>Comprehensive prevention to halt ransomware, malware, file-less, and other attacks</w:t>
      </w:r>
      <w:r w:rsidR="00C96B33" w:rsidRPr="004217CB">
        <w:rPr>
          <w:sz w:val="20"/>
          <w:szCs w:val="20"/>
        </w:rPr>
        <w:t>.</w:t>
      </w:r>
    </w:p>
    <w:p w14:paraId="2CC253C8" w14:textId="568D71AE" w:rsidR="008E07C3" w:rsidRPr="004217CB" w:rsidRDefault="007F1BE5" w:rsidP="00123127">
      <w:pPr>
        <w:numPr>
          <w:ilvl w:val="0"/>
          <w:numId w:val="1"/>
        </w:numPr>
        <w:spacing w:line="480" w:lineRule="auto"/>
        <w:rPr>
          <w:sz w:val="20"/>
          <w:szCs w:val="20"/>
        </w:rPr>
      </w:pPr>
      <w:r w:rsidRPr="004217CB">
        <w:rPr>
          <w:sz w:val="20"/>
          <w:szCs w:val="20"/>
        </w:rPr>
        <w:t xml:space="preserve">A unique feature </w:t>
      </w:r>
      <w:r w:rsidRPr="004217CB">
        <w:rPr>
          <w:sz w:val="20"/>
          <w:szCs w:val="20"/>
        </w:rPr>
        <w:t xml:space="preserve">approach to detect and block malicious activity, taking a completely system-centric view of endpoint security rather than </w:t>
      </w:r>
      <w:r w:rsidR="00EC17DD">
        <w:rPr>
          <w:sz w:val="20"/>
          <w:szCs w:val="20"/>
        </w:rPr>
        <w:t>mere</w:t>
      </w:r>
      <w:r w:rsidRPr="004217CB">
        <w:rPr>
          <w:sz w:val="20"/>
          <w:szCs w:val="20"/>
        </w:rPr>
        <w:t>ly focusing on point-in-time malware threats.</w:t>
      </w:r>
    </w:p>
    <w:p w14:paraId="58B5285B" w14:textId="4DB01E14" w:rsidR="008E07C3" w:rsidRPr="004217CB" w:rsidRDefault="007F1BE5" w:rsidP="00123127">
      <w:pPr>
        <w:numPr>
          <w:ilvl w:val="0"/>
          <w:numId w:val="1"/>
        </w:numPr>
        <w:spacing w:line="480" w:lineRule="auto"/>
        <w:rPr>
          <w:sz w:val="20"/>
          <w:szCs w:val="20"/>
        </w:rPr>
      </w:pPr>
      <w:r w:rsidRPr="004217CB">
        <w:rPr>
          <w:sz w:val="20"/>
          <w:szCs w:val="20"/>
        </w:rPr>
        <w:t>Reduced mean time to detect and respond to every threat by alerting security personnel for</w:t>
      </w:r>
      <w:r w:rsidR="00EC17DD">
        <w:rPr>
          <w:sz w:val="20"/>
          <w:szCs w:val="20"/>
        </w:rPr>
        <w:t xml:space="preserve"> an</w:t>
      </w:r>
      <w:r w:rsidRPr="004217CB">
        <w:rPr>
          <w:sz w:val="20"/>
          <w:szCs w:val="20"/>
        </w:rPr>
        <w:t xml:space="preserve"> immediate response within the </w:t>
      </w:r>
      <w:r w:rsidR="001B7050" w:rsidRPr="004217CB">
        <w:rPr>
          <w:sz w:val="20"/>
          <w:szCs w:val="20"/>
        </w:rPr>
        <w:t>console</w:t>
      </w:r>
      <w:r w:rsidRPr="004217CB">
        <w:rPr>
          <w:sz w:val="20"/>
          <w:szCs w:val="20"/>
        </w:rPr>
        <w:t xml:space="preserve">, thereby </w:t>
      </w:r>
      <w:r w:rsidR="001B7050" w:rsidRPr="004217CB">
        <w:rPr>
          <w:sz w:val="20"/>
          <w:szCs w:val="20"/>
        </w:rPr>
        <w:t xml:space="preserve">quickly </w:t>
      </w:r>
      <w:r w:rsidRPr="004217CB">
        <w:rPr>
          <w:sz w:val="20"/>
          <w:szCs w:val="20"/>
        </w:rPr>
        <w:t>isolat</w:t>
      </w:r>
      <w:r w:rsidR="001B7050" w:rsidRPr="004217CB">
        <w:rPr>
          <w:sz w:val="20"/>
          <w:szCs w:val="20"/>
        </w:rPr>
        <w:t xml:space="preserve">ing the threat. </w:t>
      </w:r>
    </w:p>
    <w:p w14:paraId="38DA233F" w14:textId="3CB0334B" w:rsidR="008E07C3" w:rsidRPr="004217CB" w:rsidRDefault="00EC17DD" w:rsidP="00123127">
      <w:pPr>
        <w:numPr>
          <w:ilvl w:val="0"/>
          <w:numId w:val="1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A l</w:t>
      </w:r>
      <w:r w:rsidR="001B7050" w:rsidRPr="004217CB">
        <w:rPr>
          <w:sz w:val="20"/>
          <w:szCs w:val="20"/>
        </w:rPr>
        <w:t xml:space="preserve">ightweight and easy feature to consolidate one’s security stack and return critical CPU cycle on endpoints within a single cloud-native console and agent. </w:t>
      </w:r>
    </w:p>
    <w:p w14:paraId="2386E8DA" w14:textId="51AC6F76" w:rsidR="008E07C3" w:rsidRPr="004217CB" w:rsidRDefault="008E07C3" w:rsidP="00123127">
      <w:pPr>
        <w:spacing w:line="480" w:lineRule="auto"/>
        <w:rPr>
          <w:b/>
          <w:sz w:val="20"/>
          <w:szCs w:val="20"/>
        </w:rPr>
      </w:pPr>
      <w:r w:rsidRPr="004217CB">
        <w:rPr>
          <w:b/>
          <w:sz w:val="20"/>
          <w:szCs w:val="20"/>
        </w:rPr>
        <w:t xml:space="preserve">COST: </w:t>
      </w:r>
      <w:r w:rsidR="000A22D7" w:rsidRPr="004217CB">
        <w:rPr>
          <w:bCs/>
          <w:sz w:val="20"/>
          <w:szCs w:val="20"/>
        </w:rPr>
        <w:t>Based on the endpoint package chosen and provided</w:t>
      </w:r>
      <w:r w:rsidR="000A22D7" w:rsidRPr="004217CB">
        <w:rPr>
          <w:bCs/>
          <w:sz w:val="20"/>
          <w:szCs w:val="20"/>
        </w:rPr>
        <w:t xml:space="preserve"> on a tiered yearly subscription model pricing model</w:t>
      </w:r>
      <w:r w:rsidR="000A22D7" w:rsidRPr="004217CB">
        <w:rPr>
          <w:bCs/>
          <w:sz w:val="20"/>
          <w:szCs w:val="20"/>
        </w:rPr>
        <w:t xml:space="preserve"> s</w:t>
      </w:r>
      <w:r w:rsidR="000A22D7" w:rsidRPr="004217CB">
        <w:rPr>
          <w:bCs/>
          <w:sz w:val="20"/>
          <w:szCs w:val="20"/>
        </w:rPr>
        <w:t xml:space="preserve">tarting </w:t>
      </w:r>
      <w:r w:rsidR="000A22D7" w:rsidRPr="004217CB">
        <w:rPr>
          <w:bCs/>
          <w:sz w:val="20"/>
          <w:szCs w:val="20"/>
        </w:rPr>
        <w:t xml:space="preserve">with </w:t>
      </w:r>
      <w:r w:rsidR="000A22D7" w:rsidRPr="004217CB">
        <w:rPr>
          <w:bCs/>
          <w:sz w:val="20"/>
          <w:szCs w:val="20"/>
        </w:rPr>
        <w:t xml:space="preserve">$30 per endpoint </w:t>
      </w:r>
      <w:r w:rsidR="000A22D7" w:rsidRPr="004217CB">
        <w:rPr>
          <w:bCs/>
          <w:sz w:val="20"/>
          <w:szCs w:val="20"/>
        </w:rPr>
        <w:t xml:space="preserve">per year </w:t>
      </w:r>
      <w:r w:rsidR="000A22D7" w:rsidRPr="004217CB">
        <w:rPr>
          <w:bCs/>
          <w:sz w:val="20"/>
          <w:szCs w:val="20"/>
        </w:rPr>
        <w:t>subscription</w:t>
      </w:r>
      <w:r w:rsidR="000A22D7" w:rsidRPr="004217CB">
        <w:rPr>
          <w:bCs/>
          <w:sz w:val="20"/>
          <w:szCs w:val="20"/>
        </w:rPr>
        <w:t xml:space="preserve">. 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4410"/>
        <w:gridCol w:w="6030"/>
      </w:tblGrid>
      <w:tr w:rsidR="008E07C3" w:rsidRPr="004217CB" w14:paraId="5E7F90EA" w14:textId="77777777" w:rsidTr="004217CB">
        <w:trPr>
          <w:trHeight w:val="360"/>
        </w:trPr>
        <w:tc>
          <w:tcPr>
            <w:tcW w:w="4410" w:type="dxa"/>
          </w:tcPr>
          <w:p w14:paraId="099FB92F" w14:textId="77777777" w:rsidR="008E07C3" w:rsidRPr="004217CB" w:rsidRDefault="008E07C3" w:rsidP="007568DB">
            <w:pPr>
              <w:spacing w:after="160" w:line="480" w:lineRule="auto"/>
              <w:jc w:val="center"/>
              <w:rPr>
                <w:b/>
                <w:sz w:val="20"/>
                <w:szCs w:val="20"/>
              </w:rPr>
            </w:pPr>
            <w:r w:rsidRPr="004217CB">
              <w:rPr>
                <w:b/>
                <w:sz w:val="20"/>
                <w:szCs w:val="20"/>
              </w:rPr>
              <w:t>PROS</w:t>
            </w:r>
          </w:p>
        </w:tc>
        <w:tc>
          <w:tcPr>
            <w:tcW w:w="6030" w:type="dxa"/>
          </w:tcPr>
          <w:p w14:paraId="4F8FE636" w14:textId="77777777" w:rsidR="008E07C3" w:rsidRPr="004217CB" w:rsidRDefault="008E07C3" w:rsidP="007568DB">
            <w:pPr>
              <w:spacing w:after="160" w:line="480" w:lineRule="auto"/>
              <w:jc w:val="center"/>
              <w:rPr>
                <w:b/>
                <w:sz w:val="20"/>
                <w:szCs w:val="20"/>
              </w:rPr>
            </w:pPr>
            <w:r w:rsidRPr="004217CB">
              <w:rPr>
                <w:b/>
                <w:sz w:val="20"/>
                <w:szCs w:val="20"/>
              </w:rPr>
              <w:t>CONS</w:t>
            </w:r>
          </w:p>
        </w:tc>
      </w:tr>
      <w:tr w:rsidR="008E07C3" w:rsidRPr="004217CB" w14:paraId="54222021" w14:textId="77777777" w:rsidTr="004217CB">
        <w:trPr>
          <w:trHeight w:val="2284"/>
        </w:trPr>
        <w:tc>
          <w:tcPr>
            <w:tcW w:w="4410" w:type="dxa"/>
          </w:tcPr>
          <w:p w14:paraId="03240E14" w14:textId="36614619" w:rsidR="008E07C3" w:rsidRPr="004217CB" w:rsidRDefault="004217CB" w:rsidP="007568DB">
            <w:pPr>
              <w:spacing w:after="160" w:line="480" w:lineRule="auto"/>
              <w:rPr>
                <w:sz w:val="20"/>
                <w:szCs w:val="20"/>
              </w:rPr>
            </w:pPr>
            <w:r w:rsidRPr="004217CB">
              <w:rPr>
                <w:sz w:val="20"/>
                <w:szCs w:val="20"/>
              </w:rPr>
              <w:t>E</w:t>
            </w:r>
            <w:r w:rsidR="001B7050" w:rsidRPr="004217CB">
              <w:rPr>
                <w:sz w:val="20"/>
                <w:szCs w:val="20"/>
              </w:rPr>
              <w:t>asy installation on endpoints through a single lightweight agent.</w:t>
            </w:r>
          </w:p>
          <w:p w14:paraId="5EE73F0B" w14:textId="4AAC012F" w:rsidR="004217CB" w:rsidRPr="004217CB" w:rsidRDefault="004217CB" w:rsidP="004217CB">
            <w:pPr>
              <w:spacing w:line="480" w:lineRule="auto"/>
              <w:rPr>
                <w:sz w:val="20"/>
                <w:szCs w:val="20"/>
              </w:rPr>
            </w:pPr>
            <w:r w:rsidRPr="004217CB">
              <w:rPr>
                <w:sz w:val="20"/>
                <w:szCs w:val="20"/>
              </w:rPr>
              <w:t xml:space="preserve">Visual display for stages of an attack and automatic scoring of security alerts. </w:t>
            </w:r>
          </w:p>
        </w:tc>
        <w:tc>
          <w:tcPr>
            <w:tcW w:w="6030" w:type="dxa"/>
          </w:tcPr>
          <w:p w14:paraId="686A6142" w14:textId="094B3F89" w:rsidR="008E07C3" w:rsidRPr="004217CB" w:rsidRDefault="007568DB" w:rsidP="007568DB">
            <w:pPr>
              <w:spacing w:after="160" w:line="480" w:lineRule="auto"/>
              <w:rPr>
                <w:sz w:val="20"/>
                <w:szCs w:val="20"/>
              </w:rPr>
            </w:pPr>
            <w:r w:rsidRPr="004217CB">
              <w:rPr>
                <w:sz w:val="20"/>
                <w:szCs w:val="20"/>
              </w:rPr>
              <w:t>This solution is primarily designed for cloud services only. Hence, to protect on-premise endpoints</w:t>
            </w:r>
            <w:r w:rsidR="00C96B33" w:rsidRPr="004217CB">
              <w:rPr>
                <w:sz w:val="20"/>
                <w:szCs w:val="20"/>
              </w:rPr>
              <w:t xml:space="preserve"> </w:t>
            </w:r>
            <w:r w:rsidR="00BA016B">
              <w:rPr>
                <w:sz w:val="20"/>
                <w:szCs w:val="20"/>
              </w:rPr>
              <w:t>t</w:t>
            </w:r>
            <w:r w:rsidR="00BA016B" w:rsidRPr="00BA016B">
              <w:rPr>
                <w:sz w:val="20"/>
                <w:szCs w:val="20"/>
              </w:rPr>
              <w:t>hat require specialized protection due to their unique purpose or build</w:t>
            </w:r>
            <w:r w:rsidR="00BA016B" w:rsidRPr="00BA016B">
              <w:rPr>
                <w:sz w:val="20"/>
                <w:szCs w:val="20"/>
              </w:rPr>
              <w:t xml:space="preserve"> </w:t>
            </w:r>
            <w:r w:rsidR="00C96B33" w:rsidRPr="004217CB">
              <w:rPr>
                <w:sz w:val="20"/>
                <w:szCs w:val="20"/>
              </w:rPr>
              <w:t>as well</w:t>
            </w:r>
            <w:r w:rsidRPr="004217CB">
              <w:rPr>
                <w:sz w:val="20"/>
                <w:szCs w:val="20"/>
              </w:rPr>
              <w:t xml:space="preserve">, one </w:t>
            </w:r>
            <w:r w:rsidR="004217CB" w:rsidRPr="004217CB">
              <w:rPr>
                <w:sz w:val="20"/>
                <w:szCs w:val="20"/>
              </w:rPr>
              <w:t>must</w:t>
            </w:r>
            <w:r w:rsidRPr="004217CB">
              <w:rPr>
                <w:sz w:val="20"/>
                <w:szCs w:val="20"/>
              </w:rPr>
              <w:t xml:space="preserve"> get another type of Carbon Black’s solution such as VMware Carbon Black EDR or VMware Carbon Black App Control depending on what they want to protect.</w:t>
            </w:r>
          </w:p>
        </w:tc>
      </w:tr>
      <w:tr w:rsidR="008E07C3" w:rsidRPr="004217CB" w14:paraId="3B7F2016" w14:textId="77777777" w:rsidTr="004217CB">
        <w:trPr>
          <w:trHeight w:val="839"/>
        </w:trPr>
        <w:tc>
          <w:tcPr>
            <w:tcW w:w="4410" w:type="dxa"/>
          </w:tcPr>
          <w:p w14:paraId="7C2170BA" w14:textId="3A80D0AC" w:rsidR="008E07C3" w:rsidRPr="004217CB" w:rsidRDefault="007568DB" w:rsidP="00123127">
            <w:pPr>
              <w:spacing w:after="160" w:line="480" w:lineRule="auto"/>
              <w:rPr>
                <w:sz w:val="20"/>
                <w:szCs w:val="20"/>
              </w:rPr>
            </w:pPr>
            <w:r w:rsidRPr="004217CB">
              <w:rPr>
                <w:sz w:val="20"/>
                <w:szCs w:val="20"/>
              </w:rPr>
              <w:lastRenderedPageBreak/>
              <w:t xml:space="preserve">Supports </w:t>
            </w:r>
            <w:r w:rsidRPr="004217CB">
              <w:rPr>
                <w:sz w:val="20"/>
                <w:szCs w:val="20"/>
              </w:rPr>
              <w:t>the prevention, detection, proactive hunting</w:t>
            </w:r>
            <w:r w:rsidR="00BB6A47">
              <w:rPr>
                <w:sz w:val="20"/>
                <w:szCs w:val="20"/>
              </w:rPr>
              <w:t xml:space="preserve">, </w:t>
            </w:r>
            <w:r w:rsidRPr="004217CB">
              <w:rPr>
                <w:sz w:val="20"/>
                <w:szCs w:val="20"/>
              </w:rPr>
              <w:t>and remediation of active threats.</w:t>
            </w:r>
          </w:p>
          <w:p w14:paraId="3C377532" w14:textId="3F4539BB" w:rsidR="004217CB" w:rsidRPr="004217CB" w:rsidRDefault="004217CB" w:rsidP="004217CB">
            <w:pPr>
              <w:rPr>
                <w:sz w:val="20"/>
                <w:szCs w:val="20"/>
              </w:rPr>
            </w:pPr>
            <w:r w:rsidRPr="004217CB">
              <w:rPr>
                <w:sz w:val="20"/>
                <w:szCs w:val="20"/>
              </w:rPr>
              <w:t xml:space="preserve">Offline prevention against signatures and behaviors used by attackers. </w:t>
            </w:r>
          </w:p>
        </w:tc>
        <w:tc>
          <w:tcPr>
            <w:tcW w:w="6030" w:type="dxa"/>
          </w:tcPr>
          <w:p w14:paraId="77816EA8" w14:textId="6B7DDE5E" w:rsidR="008E07C3" w:rsidRPr="004217CB" w:rsidRDefault="000263F2" w:rsidP="007568DB">
            <w:pPr>
              <w:spacing w:line="480" w:lineRule="auto"/>
              <w:rPr>
                <w:sz w:val="20"/>
                <w:szCs w:val="20"/>
              </w:rPr>
            </w:pPr>
            <w:r w:rsidRPr="004217CB">
              <w:rPr>
                <w:sz w:val="20"/>
                <w:szCs w:val="20"/>
              </w:rPr>
              <w:t xml:space="preserve">The equivalent on-premise </w:t>
            </w:r>
            <w:r w:rsidRPr="004217CB">
              <w:rPr>
                <w:sz w:val="20"/>
                <w:szCs w:val="20"/>
              </w:rPr>
              <w:t>malware protection</w:t>
            </w:r>
            <w:r w:rsidRPr="004217CB">
              <w:rPr>
                <w:sz w:val="20"/>
                <w:szCs w:val="20"/>
              </w:rPr>
              <w:t>, VMware Carbon Black App Control</w:t>
            </w:r>
            <w:r w:rsidR="00BB6A47">
              <w:rPr>
                <w:sz w:val="20"/>
                <w:szCs w:val="20"/>
              </w:rPr>
              <w:t>,</w:t>
            </w:r>
            <w:r w:rsidRPr="004217CB">
              <w:rPr>
                <w:sz w:val="20"/>
                <w:szCs w:val="20"/>
              </w:rPr>
              <w:t xml:space="preserve"> includes additional features that </w:t>
            </w:r>
            <w:r w:rsidRPr="004217CB">
              <w:rPr>
                <w:sz w:val="20"/>
                <w:szCs w:val="20"/>
              </w:rPr>
              <w:t>VMware Carbon Black Cloud</w:t>
            </w:r>
            <w:r w:rsidRPr="004217CB">
              <w:rPr>
                <w:sz w:val="20"/>
                <w:szCs w:val="20"/>
              </w:rPr>
              <w:t xml:space="preserve"> doesn’t provide</w:t>
            </w:r>
            <w:r w:rsidR="00BB6A47">
              <w:rPr>
                <w:sz w:val="20"/>
                <w:szCs w:val="20"/>
              </w:rPr>
              <w:t>,</w:t>
            </w:r>
            <w:r w:rsidRPr="004217CB">
              <w:rPr>
                <w:sz w:val="20"/>
                <w:szCs w:val="20"/>
              </w:rPr>
              <w:t xml:space="preserve"> such as b</w:t>
            </w:r>
            <w:r w:rsidRPr="004217CB">
              <w:rPr>
                <w:sz w:val="20"/>
                <w:szCs w:val="20"/>
              </w:rPr>
              <w:t>uilt-in file-integrity monitoring, device control, and memory protection to block unauthorized change.</w:t>
            </w:r>
          </w:p>
        </w:tc>
      </w:tr>
    </w:tbl>
    <w:p w14:paraId="16FECBFA" w14:textId="77777777" w:rsidR="008E07C3" w:rsidRPr="004217CB" w:rsidRDefault="008E07C3" w:rsidP="00123127">
      <w:pPr>
        <w:spacing w:line="480" w:lineRule="auto"/>
        <w:rPr>
          <w:b/>
          <w:sz w:val="20"/>
          <w:szCs w:val="20"/>
        </w:rPr>
      </w:pPr>
    </w:p>
    <w:p w14:paraId="11650D26" w14:textId="60C52C39" w:rsidR="008E07C3" w:rsidRPr="004217CB" w:rsidRDefault="00510392" w:rsidP="00123127">
      <w:pPr>
        <w:spacing w:line="480" w:lineRule="auto"/>
        <w:rPr>
          <w:b/>
          <w:sz w:val="20"/>
          <w:szCs w:val="20"/>
        </w:rPr>
      </w:pPr>
      <w:r w:rsidRPr="004217CB">
        <w:rPr>
          <w:b/>
          <w:sz w:val="20"/>
          <w:szCs w:val="20"/>
        </w:rPr>
        <w:t>FireEye</w:t>
      </w:r>
    </w:p>
    <w:p w14:paraId="6CB63162" w14:textId="78E12DB9" w:rsidR="008E07C3" w:rsidRPr="004217CB" w:rsidRDefault="00C83EA2" w:rsidP="00123127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As a leading cybersecurity company, FireEye offers innovative security technologies </w:t>
      </w:r>
      <w:r w:rsidR="00A12F8B">
        <w:rPr>
          <w:sz w:val="20"/>
          <w:szCs w:val="20"/>
        </w:rPr>
        <w:t>to protect against threats. One of these is the FireEye Network Security solution</w:t>
      </w:r>
      <w:r w:rsidR="002445A0">
        <w:rPr>
          <w:sz w:val="20"/>
          <w:szCs w:val="20"/>
        </w:rPr>
        <w:t xml:space="preserve">, which is designed </w:t>
      </w:r>
      <w:r w:rsidR="00A12F8B">
        <w:rPr>
          <w:sz w:val="20"/>
          <w:szCs w:val="20"/>
        </w:rPr>
        <w:t xml:space="preserve">to provide </w:t>
      </w:r>
      <w:r w:rsidR="00965BAC">
        <w:rPr>
          <w:sz w:val="20"/>
          <w:szCs w:val="20"/>
        </w:rPr>
        <w:t>adequate</w:t>
      </w:r>
      <w:r w:rsidR="002445A0">
        <w:rPr>
          <w:sz w:val="20"/>
          <w:szCs w:val="20"/>
        </w:rPr>
        <w:t xml:space="preserve"> </w:t>
      </w:r>
      <w:r w:rsidR="00A12F8B">
        <w:rPr>
          <w:sz w:val="20"/>
          <w:szCs w:val="20"/>
        </w:rPr>
        <w:t>protection against cyber breaches f</w:t>
      </w:r>
      <w:r w:rsidR="002445A0">
        <w:rPr>
          <w:sz w:val="20"/>
          <w:szCs w:val="20"/>
        </w:rPr>
        <w:t xml:space="preserve">or midsize to large organizations. To accomplish this goal, it </w:t>
      </w:r>
      <w:bookmarkStart w:id="0" w:name="_Hlk35805376"/>
      <w:r w:rsidR="002445A0" w:rsidRPr="002445A0">
        <w:rPr>
          <w:sz w:val="20"/>
          <w:szCs w:val="20"/>
        </w:rPr>
        <w:t>accurately detect</w:t>
      </w:r>
      <w:r w:rsidR="002445A0">
        <w:rPr>
          <w:sz w:val="20"/>
          <w:szCs w:val="20"/>
        </w:rPr>
        <w:t>s</w:t>
      </w:r>
      <w:r w:rsidR="002445A0" w:rsidRPr="002445A0">
        <w:rPr>
          <w:sz w:val="20"/>
          <w:szCs w:val="20"/>
        </w:rPr>
        <w:t xml:space="preserve"> and immediately stop</w:t>
      </w:r>
      <w:r w:rsidR="002445A0">
        <w:rPr>
          <w:sz w:val="20"/>
          <w:szCs w:val="20"/>
        </w:rPr>
        <w:t>s</w:t>
      </w:r>
      <w:r w:rsidR="002445A0" w:rsidRPr="002445A0">
        <w:rPr>
          <w:sz w:val="20"/>
          <w:szCs w:val="20"/>
        </w:rPr>
        <w:t xml:space="preserve"> advanced, targeted</w:t>
      </w:r>
      <w:r w:rsidR="00965BAC">
        <w:rPr>
          <w:sz w:val="20"/>
          <w:szCs w:val="20"/>
        </w:rPr>
        <w:t>,</w:t>
      </w:r>
      <w:r w:rsidR="002445A0" w:rsidRPr="002445A0">
        <w:rPr>
          <w:sz w:val="20"/>
          <w:szCs w:val="20"/>
        </w:rPr>
        <w:t xml:space="preserve"> and other evasive attacks </w:t>
      </w:r>
      <w:bookmarkEnd w:id="0"/>
      <w:r w:rsidR="002445A0" w:rsidRPr="002445A0">
        <w:rPr>
          <w:sz w:val="20"/>
          <w:szCs w:val="20"/>
        </w:rPr>
        <w:t>hiding in Internet traffic</w:t>
      </w:r>
      <w:r w:rsidR="002445A0">
        <w:rPr>
          <w:sz w:val="20"/>
          <w:szCs w:val="20"/>
        </w:rPr>
        <w:t>. The solution is also composed of multiple engines and analysis technique</w:t>
      </w:r>
      <w:r w:rsidR="00965BAC">
        <w:rPr>
          <w:sz w:val="20"/>
          <w:szCs w:val="20"/>
        </w:rPr>
        <w:t>s</w:t>
      </w:r>
      <w:r w:rsidR="002445A0">
        <w:rPr>
          <w:sz w:val="20"/>
          <w:szCs w:val="20"/>
        </w:rPr>
        <w:t xml:space="preserve"> that provide </w:t>
      </w:r>
      <w:bookmarkStart w:id="1" w:name="_Hlk35799803"/>
      <w:r w:rsidR="002445A0">
        <w:rPr>
          <w:sz w:val="20"/>
          <w:szCs w:val="20"/>
        </w:rPr>
        <w:t xml:space="preserve">advanced malware </w:t>
      </w:r>
      <w:bookmarkEnd w:id="1"/>
      <w:r w:rsidR="002445A0">
        <w:rPr>
          <w:sz w:val="20"/>
          <w:szCs w:val="20"/>
        </w:rPr>
        <w:t xml:space="preserve">protection. Some of the capabilities of </w:t>
      </w:r>
      <w:r w:rsidR="002445A0">
        <w:rPr>
          <w:sz w:val="20"/>
          <w:szCs w:val="20"/>
        </w:rPr>
        <w:t>FireEye Network Security</w:t>
      </w:r>
      <w:r w:rsidR="002445A0">
        <w:rPr>
          <w:sz w:val="20"/>
          <w:szCs w:val="20"/>
        </w:rPr>
        <w:t xml:space="preserve"> include:</w:t>
      </w:r>
    </w:p>
    <w:p w14:paraId="249180DA" w14:textId="71A41315" w:rsidR="008E07C3" w:rsidRDefault="002445A0" w:rsidP="00123127">
      <w:pPr>
        <w:numPr>
          <w:ilvl w:val="0"/>
          <w:numId w:val="2"/>
        </w:numPr>
        <w:spacing w:line="480" w:lineRule="auto"/>
        <w:rPr>
          <w:sz w:val="20"/>
          <w:szCs w:val="20"/>
        </w:rPr>
      </w:pPr>
      <w:bookmarkStart w:id="2" w:name="_Hlk35804920"/>
      <w:r w:rsidRPr="002445A0">
        <w:rPr>
          <w:sz w:val="20"/>
          <w:szCs w:val="20"/>
        </w:rPr>
        <w:t>Integrated, distributed, physical, virtual, on-premise</w:t>
      </w:r>
      <w:r w:rsidR="00965BAC">
        <w:rPr>
          <w:sz w:val="20"/>
          <w:szCs w:val="20"/>
        </w:rPr>
        <w:t>,</w:t>
      </w:r>
      <w:r w:rsidRPr="002445A0">
        <w:rPr>
          <w:sz w:val="20"/>
          <w:szCs w:val="20"/>
        </w:rPr>
        <w:t xml:space="preserve"> and cloud deployment options</w:t>
      </w:r>
      <w:bookmarkEnd w:id="2"/>
      <w:r>
        <w:rPr>
          <w:sz w:val="20"/>
          <w:szCs w:val="20"/>
        </w:rPr>
        <w:t xml:space="preserve">. </w:t>
      </w:r>
    </w:p>
    <w:p w14:paraId="6013707C" w14:textId="22AEC653" w:rsidR="002445A0" w:rsidRDefault="002445A0" w:rsidP="00123127">
      <w:pPr>
        <w:numPr>
          <w:ilvl w:val="0"/>
          <w:numId w:val="2"/>
        </w:numPr>
        <w:spacing w:line="480" w:lineRule="auto"/>
        <w:rPr>
          <w:sz w:val="20"/>
          <w:szCs w:val="20"/>
        </w:rPr>
      </w:pPr>
      <w:r w:rsidRPr="002445A0">
        <w:rPr>
          <w:sz w:val="20"/>
          <w:szCs w:val="20"/>
        </w:rPr>
        <w:t>Multi-vector correlation with Email and Content Security</w:t>
      </w:r>
      <w:r>
        <w:rPr>
          <w:sz w:val="20"/>
          <w:szCs w:val="20"/>
        </w:rPr>
        <w:t>.</w:t>
      </w:r>
    </w:p>
    <w:p w14:paraId="20707E24" w14:textId="2E27A4E9" w:rsidR="002445A0" w:rsidRDefault="002445A0" w:rsidP="00123127">
      <w:pPr>
        <w:numPr>
          <w:ilvl w:val="0"/>
          <w:numId w:val="2"/>
        </w:numPr>
        <w:spacing w:line="480" w:lineRule="auto"/>
        <w:rPr>
          <w:sz w:val="20"/>
          <w:szCs w:val="20"/>
        </w:rPr>
      </w:pPr>
      <w:r w:rsidRPr="002445A0">
        <w:rPr>
          <w:sz w:val="20"/>
          <w:szCs w:val="20"/>
        </w:rPr>
        <w:t>Consistent level of protection for multi-OS environments and all Internet access points</w:t>
      </w:r>
      <w:r>
        <w:rPr>
          <w:sz w:val="20"/>
          <w:szCs w:val="20"/>
        </w:rPr>
        <w:t>.</w:t>
      </w:r>
    </w:p>
    <w:p w14:paraId="41EE3917" w14:textId="1A82C56A" w:rsidR="002445A0" w:rsidRDefault="002445A0" w:rsidP="00123127">
      <w:pPr>
        <w:numPr>
          <w:ilvl w:val="0"/>
          <w:numId w:val="2"/>
        </w:numPr>
        <w:spacing w:line="480" w:lineRule="auto"/>
        <w:rPr>
          <w:sz w:val="20"/>
          <w:szCs w:val="20"/>
        </w:rPr>
      </w:pPr>
      <w:r w:rsidRPr="002445A0">
        <w:rPr>
          <w:sz w:val="20"/>
          <w:szCs w:val="20"/>
        </w:rPr>
        <w:t>Extensible, modular security architecture</w:t>
      </w:r>
      <w:r w:rsidR="00F86455">
        <w:rPr>
          <w:sz w:val="20"/>
          <w:szCs w:val="20"/>
        </w:rPr>
        <w:t xml:space="preserve"> and scalability to thousands of sites.</w:t>
      </w:r>
    </w:p>
    <w:p w14:paraId="4C3E80AC" w14:textId="403CD135" w:rsidR="00F86455" w:rsidRPr="004217CB" w:rsidRDefault="00F86455" w:rsidP="00123127">
      <w:pPr>
        <w:numPr>
          <w:ilvl w:val="0"/>
          <w:numId w:val="2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Real-time protection against evasive attacks</w:t>
      </w:r>
      <w:r w:rsidR="00AE42B3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AE42B3">
        <w:rPr>
          <w:sz w:val="20"/>
          <w:szCs w:val="20"/>
        </w:rPr>
        <w:t xml:space="preserve">zero-day, </w:t>
      </w:r>
      <w:r>
        <w:rPr>
          <w:sz w:val="20"/>
          <w:szCs w:val="20"/>
        </w:rPr>
        <w:t>endpoint containment, and incident response.</w:t>
      </w:r>
    </w:p>
    <w:p w14:paraId="731E37FB" w14:textId="73005158" w:rsidR="008E07C3" w:rsidRPr="004217CB" w:rsidRDefault="008E07C3" w:rsidP="00123127">
      <w:pPr>
        <w:spacing w:line="480" w:lineRule="auto"/>
        <w:rPr>
          <w:sz w:val="20"/>
          <w:szCs w:val="20"/>
        </w:rPr>
      </w:pPr>
      <w:r w:rsidRPr="004217CB">
        <w:rPr>
          <w:b/>
          <w:sz w:val="20"/>
          <w:szCs w:val="20"/>
        </w:rPr>
        <w:t xml:space="preserve">COST: </w:t>
      </w:r>
      <w:r w:rsidR="00F86455">
        <w:rPr>
          <w:sz w:val="20"/>
          <w:szCs w:val="20"/>
        </w:rPr>
        <w:t>Depends on the type of bundle security chosen and the size of the organization. Typically cost</w:t>
      </w:r>
      <w:r w:rsidR="004F5A18">
        <w:rPr>
          <w:sz w:val="20"/>
          <w:szCs w:val="20"/>
        </w:rPr>
        <w:t xml:space="preserve">s $1,903,200/year </w:t>
      </w:r>
      <w:r w:rsidR="00965BAC">
        <w:rPr>
          <w:sz w:val="20"/>
          <w:szCs w:val="20"/>
        </w:rPr>
        <w:t xml:space="preserve">in </w:t>
      </w:r>
      <w:r w:rsidR="004F5A18">
        <w:rPr>
          <w:sz w:val="20"/>
          <w:szCs w:val="20"/>
        </w:rPr>
        <w:t xml:space="preserve">operational expenditure to process all alerts. </w:t>
      </w:r>
    </w:p>
    <w:tbl>
      <w:tblPr>
        <w:tblStyle w:val="TableGrid"/>
        <w:tblW w:w="9883" w:type="dxa"/>
        <w:tblLook w:val="04A0" w:firstRow="1" w:lastRow="0" w:firstColumn="1" w:lastColumn="0" w:noHBand="0" w:noVBand="1"/>
      </w:tblPr>
      <w:tblGrid>
        <w:gridCol w:w="4280"/>
        <w:gridCol w:w="5603"/>
      </w:tblGrid>
      <w:tr w:rsidR="008E07C3" w:rsidRPr="004217CB" w14:paraId="72B3FAE9" w14:textId="77777777" w:rsidTr="000B34B5">
        <w:trPr>
          <w:trHeight w:val="353"/>
        </w:trPr>
        <w:tc>
          <w:tcPr>
            <w:tcW w:w="4280" w:type="dxa"/>
          </w:tcPr>
          <w:p w14:paraId="69569CE1" w14:textId="77777777" w:rsidR="008E07C3" w:rsidRPr="004217CB" w:rsidRDefault="008E07C3" w:rsidP="004F5A18">
            <w:pPr>
              <w:spacing w:after="160" w:line="480" w:lineRule="auto"/>
              <w:jc w:val="center"/>
              <w:rPr>
                <w:b/>
                <w:sz w:val="20"/>
                <w:szCs w:val="20"/>
              </w:rPr>
            </w:pPr>
            <w:r w:rsidRPr="004217CB">
              <w:rPr>
                <w:b/>
                <w:sz w:val="20"/>
                <w:szCs w:val="20"/>
              </w:rPr>
              <w:t>PROS</w:t>
            </w:r>
          </w:p>
        </w:tc>
        <w:tc>
          <w:tcPr>
            <w:tcW w:w="5603" w:type="dxa"/>
          </w:tcPr>
          <w:p w14:paraId="3ACD57F4" w14:textId="77777777" w:rsidR="008E07C3" w:rsidRPr="004217CB" w:rsidRDefault="008E07C3" w:rsidP="004F5A18">
            <w:pPr>
              <w:spacing w:after="160" w:line="480" w:lineRule="auto"/>
              <w:jc w:val="center"/>
              <w:rPr>
                <w:b/>
                <w:sz w:val="20"/>
                <w:szCs w:val="20"/>
              </w:rPr>
            </w:pPr>
            <w:r w:rsidRPr="004217CB">
              <w:rPr>
                <w:b/>
                <w:sz w:val="20"/>
                <w:szCs w:val="20"/>
              </w:rPr>
              <w:t>CONS</w:t>
            </w:r>
          </w:p>
        </w:tc>
      </w:tr>
      <w:tr w:rsidR="008E07C3" w:rsidRPr="004217CB" w14:paraId="2F55225C" w14:textId="77777777" w:rsidTr="000B34B5">
        <w:trPr>
          <w:trHeight w:val="1280"/>
        </w:trPr>
        <w:tc>
          <w:tcPr>
            <w:tcW w:w="4280" w:type="dxa"/>
          </w:tcPr>
          <w:p w14:paraId="7DADC396" w14:textId="4B08C6A6" w:rsidR="008E07C3" w:rsidRPr="004217CB" w:rsidRDefault="00AE42B3" w:rsidP="00123127">
            <w:pPr>
              <w:spacing w:after="160"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Validated and prioritized alerts with</w:t>
            </w:r>
            <w:r w:rsidR="00965BAC">
              <w:rPr>
                <w:sz w:val="20"/>
                <w:szCs w:val="20"/>
              </w:rPr>
              <w:t xml:space="preserve"> a</w:t>
            </w:r>
            <w:r>
              <w:rPr>
                <w:sz w:val="20"/>
                <w:szCs w:val="20"/>
              </w:rPr>
              <w:t xml:space="preserve"> low rate of false positives. </w:t>
            </w:r>
          </w:p>
        </w:tc>
        <w:tc>
          <w:tcPr>
            <w:tcW w:w="5603" w:type="dxa"/>
          </w:tcPr>
          <w:p w14:paraId="0E3556F1" w14:textId="761E888F" w:rsidR="008E07C3" w:rsidRPr="004217CB" w:rsidRDefault="00AE42B3" w:rsidP="00123127">
            <w:pPr>
              <w:spacing w:after="160"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Relies on conventional signature-matching methods to identify and prioritize threats. </w:t>
            </w:r>
            <w:r w:rsidR="005A5C98">
              <w:rPr>
                <w:sz w:val="20"/>
                <w:szCs w:val="20"/>
              </w:rPr>
              <w:t>It d</w:t>
            </w:r>
            <w:r>
              <w:rPr>
                <w:sz w:val="20"/>
                <w:szCs w:val="20"/>
              </w:rPr>
              <w:t>oesn’t consider behavioral analysis.</w:t>
            </w:r>
          </w:p>
        </w:tc>
      </w:tr>
      <w:tr w:rsidR="008E07C3" w:rsidRPr="004217CB" w14:paraId="4041D320" w14:textId="77777777" w:rsidTr="000B34B5">
        <w:trPr>
          <w:trHeight w:val="821"/>
        </w:trPr>
        <w:tc>
          <w:tcPr>
            <w:tcW w:w="4280" w:type="dxa"/>
          </w:tcPr>
          <w:p w14:paraId="7013EFD9" w14:textId="6597C955" w:rsidR="008E07C3" w:rsidRPr="004217CB" w:rsidRDefault="00965BAC" w:rsidP="00123127">
            <w:pPr>
              <w:spacing w:after="160"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An e</w:t>
            </w:r>
            <w:r w:rsidR="004F5A18">
              <w:rPr>
                <w:sz w:val="20"/>
                <w:szCs w:val="20"/>
              </w:rPr>
              <w:t>stimated 152% ROI savings over three years and payback on</w:t>
            </w:r>
            <w:r>
              <w:rPr>
                <w:sz w:val="20"/>
                <w:szCs w:val="20"/>
              </w:rPr>
              <w:t xml:space="preserve"> the</w:t>
            </w:r>
            <w:r w:rsidR="004F5A18">
              <w:rPr>
                <w:sz w:val="20"/>
                <w:szCs w:val="20"/>
              </w:rPr>
              <w:t xml:space="preserve"> ini</w:t>
            </w:r>
            <w:r w:rsidR="00626C05">
              <w:rPr>
                <w:sz w:val="20"/>
                <w:szCs w:val="20"/>
              </w:rPr>
              <w:t xml:space="preserve">tial investment in 9.7 months. </w:t>
            </w:r>
          </w:p>
        </w:tc>
        <w:tc>
          <w:tcPr>
            <w:tcW w:w="5603" w:type="dxa"/>
          </w:tcPr>
          <w:p w14:paraId="47E53C29" w14:textId="20B69B5B" w:rsidR="008E07C3" w:rsidRPr="004217CB" w:rsidRDefault="00626C05" w:rsidP="00123127">
            <w:pPr>
              <w:spacing w:after="160"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cost to maintain the security solution might be too high for small organizations, </w:t>
            </w:r>
            <w:r w:rsidR="00965BAC">
              <w:rPr>
                <w:sz w:val="20"/>
                <w:szCs w:val="20"/>
              </w:rPr>
              <w:t>especially</w:t>
            </w:r>
            <w:r>
              <w:rPr>
                <w:sz w:val="20"/>
                <w:szCs w:val="20"/>
              </w:rPr>
              <w:t xml:space="preserve"> if they have</w:t>
            </w:r>
            <w:r w:rsidR="00965BAC">
              <w:rPr>
                <w:sz w:val="20"/>
                <w:szCs w:val="20"/>
              </w:rPr>
              <w:t xml:space="preserve"> a</w:t>
            </w:r>
            <w:r>
              <w:rPr>
                <w:sz w:val="20"/>
                <w:szCs w:val="20"/>
              </w:rPr>
              <w:t xml:space="preserve"> limited number of assets to protect instead of the full extent that it can support. </w:t>
            </w:r>
          </w:p>
        </w:tc>
      </w:tr>
      <w:tr w:rsidR="00626C05" w:rsidRPr="004217CB" w14:paraId="01E9ECEC" w14:textId="77777777" w:rsidTr="000B34B5">
        <w:trPr>
          <w:trHeight w:val="821"/>
        </w:trPr>
        <w:tc>
          <w:tcPr>
            <w:tcW w:w="4280" w:type="dxa"/>
          </w:tcPr>
          <w:p w14:paraId="34C25274" w14:textId="6FB5E0F3" w:rsidR="00626C05" w:rsidRDefault="00340B55" w:rsidP="00123127"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Comprehensive</w:t>
            </w:r>
            <w:r w:rsidR="00965BAC">
              <w:rPr>
                <w:sz w:val="20"/>
                <w:szCs w:val="20"/>
              </w:rPr>
              <w:t xml:space="preserve"> a</w:t>
            </w:r>
            <w:r w:rsidR="00AE42B3">
              <w:rPr>
                <w:sz w:val="20"/>
                <w:szCs w:val="20"/>
              </w:rPr>
              <w:t xml:space="preserve">ttack </w:t>
            </w:r>
            <w:r w:rsidR="00965BAC">
              <w:rPr>
                <w:sz w:val="20"/>
                <w:szCs w:val="20"/>
              </w:rPr>
              <w:t>s</w:t>
            </w:r>
            <w:r w:rsidR="00AE42B3">
              <w:rPr>
                <w:sz w:val="20"/>
                <w:szCs w:val="20"/>
              </w:rPr>
              <w:t>urface Coverage of multiple environments.</w:t>
            </w:r>
          </w:p>
        </w:tc>
        <w:tc>
          <w:tcPr>
            <w:tcW w:w="5603" w:type="dxa"/>
          </w:tcPr>
          <w:p w14:paraId="1DE1FE6A" w14:textId="14CA7ADD" w:rsidR="00626C05" w:rsidRDefault="00AE42B3" w:rsidP="00123127"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security solution only supports macOS x, Windows, and Linux (CentOS).</w:t>
            </w:r>
          </w:p>
        </w:tc>
      </w:tr>
    </w:tbl>
    <w:p w14:paraId="384D517C" w14:textId="77777777" w:rsidR="008E07C3" w:rsidRPr="004217CB" w:rsidRDefault="008E07C3" w:rsidP="00123127">
      <w:pPr>
        <w:spacing w:line="480" w:lineRule="auto"/>
        <w:rPr>
          <w:sz w:val="20"/>
          <w:szCs w:val="20"/>
        </w:rPr>
      </w:pPr>
    </w:p>
    <w:p w14:paraId="5FABFA92" w14:textId="1268F4DB" w:rsidR="008E07C3" w:rsidRPr="004217CB" w:rsidRDefault="00510392" w:rsidP="00123127">
      <w:pPr>
        <w:spacing w:line="480" w:lineRule="auto"/>
        <w:rPr>
          <w:b/>
          <w:sz w:val="20"/>
          <w:szCs w:val="20"/>
        </w:rPr>
      </w:pPr>
      <w:r w:rsidRPr="004217CB">
        <w:rPr>
          <w:b/>
          <w:sz w:val="20"/>
          <w:szCs w:val="20"/>
        </w:rPr>
        <w:t>Cylance</w:t>
      </w:r>
    </w:p>
    <w:p w14:paraId="63B8A5E7" w14:textId="6E4EFE9A" w:rsidR="008E07C3" w:rsidRPr="004217CB" w:rsidRDefault="00076727" w:rsidP="00123127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This software firm develops antivirus software and other kinds of security solutions that </w:t>
      </w:r>
      <w:r w:rsidRPr="00076727">
        <w:rPr>
          <w:sz w:val="20"/>
          <w:szCs w:val="20"/>
        </w:rPr>
        <w:t xml:space="preserve">proactively prevent, rather than reactively detect the execution of advanced persistent threats and </w:t>
      </w:r>
      <w:r w:rsidR="00473BA9" w:rsidRPr="00473BA9">
        <w:rPr>
          <w:sz w:val="20"/>
          <w:szCs w:val="20"/>
        </w:rPr>
        <w:t xml:space="preserve">advanced </w:t>
      </w:r>
      <w:r w:rsidRPr="00076727">
        <w:rPr>
          <w:sz w:val="20"/>
          <w:szCs w:val="20"/>
        </w:rPr>
        <w:t>malware.</w:t>
      </w:r>
      <w:r>
        <w:rPr>
          <w:sz w:val="20"/>
          <w:szCs w:val="20"/>
        </w:rPr>
        <w:t xml:space="preserve"> These solutions utilize Artificial Intelligence (AI) and machine learning to protect endpoint systems. </w:t>
      </w:r>
      <w:r w:rsidR="00B309B7">
        <w:rPr>
          <w:sz w:val="20"/>
          <w:szCs w:val="20"/>
        </w:rPr>
        <w:t>One of these solutions, Cylance PROTECT</w:t>
      </w:r>
      <w:r w:rsidR="00340B55">
        <w:rPr>
          <w:sz w:val="20"/>
          <w:szCs w:val="20"/>
        </w:rPr>
        <w:t>,</w:t>
      </w:r>
      <w:r w:rsidR="00B309B7">
        <w:rPr>
          <w:sz w:val="20"/>
          <w:szCs w:val="20"/>
        </w:rPr>
        <w:t xml:space="preserve"> is an AI-based endpoint </w:t>
      </w:r>
      <w:r w:rsidR="007A5CDB">
        <w:rPr>
          <w:sz w:val="20"/>
          <w:szCs w:val="20"/>
        </w:rPr>
        <w:t xml:space="preserve">software as a service </w:t>
      </w:r>
      <w:r w:rsidR="00B309B7">
        <w:rPr>
          <w:sz w:val="20"/>
          <w:szCs w:val="20"/>
        </w:rPr>
        <w:t xml:space="preserve">security solution that provides controls for safeguarding against sophisticated threats, thereby preventing the occurrence of breaches. </w:t>
      </w:r>
      <w:r w:rsidR="00B309B7">
        <w:rPr>
          <w:sz w:val="20"/>
          <w:szCs w:val="20"/>
        </w:rPr>
        <w:t>Some of the capabilities of</w:t>
      </w:r>
      <w:r w:rsidR="00B309B7">
        <w:rPr>
          <w:sz w:val="20"/>
          <w:szCs w:val="20"/>
        </w:rPr>
        <w:t xml:space="preserve"> </w:t>
      </w:r>
      <w:r w:rsidR="00B309B7">
        <w:rPr>
          <w:sz w:val="20"/>
          <w:szCs w:val="20"/>
        </w:rPr>
        <w:t>Cylance PROTECT</w:t>
      </w:r>
      <w:r w:rsidR="00B309B7">
        <w:rPr>
          <w:sz w:val="20"/>
          <w:szCs w:val="20"/>
        </w:rPr>
        <w:t xml:space="preserve"> </w:t>
      </w:r>
      <w:r w:rsidR="008E07C3" w:rsidRPr="004217CB">
        <w:rPr>
          <w:sz w:val="20"/>
          <w:szCs w:val="20"/>
        </w:rPr>
        <w:t>include:</w:t>
      </w:r>
    </w:p>
    <w:p w14:paraId="3DC17A37" w14:textId="69C40400" w:rsidR="008E07C3" w:rsidRDefault="00B309B7" w:rsidP="00123127">
      <w:pPr>
        <w:numPr>
          <w:ilvl w:val="0"/>
          <w:numId w:val="3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Device usage policy enforcement to control</w:t>
      </w:r>
      <w:r w:rsidR="00340B55">
        <w:rPr>
          <w:sz w:val="20"/>
          <w:szCs w:val="20"/>
        </w:rPr>
        <w:t xml:space="preserve"> the</w:t>
      </w:r>
      <w:r>
        <w:rPr>
          <w:sz w:val="20"/>
          <w:szCs w:val="20"/>
        </w:rPr>
        <w:t xml:space="preserve"> use of USB mass storage devices and prevent data theft via removable media. </w:t>
      </w:r>
    </w:p>
    <w:p w14:paraId="4188703A" w14:textId="2D9C116F" w:rsidR="00B309B7" w:rsidRDefault="00B309B7" w:rsidP="00123127">
      <w:pPr>
        <w:numPr>
          <w:ilvl w:val="0"/>
          <w:numId w:val="3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Implementation of role-based access control to restrict access to only authorized limited employees.</w:t>
      </w:r>
    </w:p>
    <w:p w14:paraId="57559083" w14:textId="2B2A56D5" w:rsidR="00B309B7" w:rsidRDefault="00B309B7" w:rsidP="00123127">
      <w:pPr>
        <w:numPr>
          <w:ilvl w:val="0"/>
          <w:numId w:val="3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Application control to </w:t>
      </w:r>
      <w:r w:rsidR="007A5CDB">
        <w:rPr>
          <w:sz w:val="20"/>
          <w:szCs w:val="20"/>
        </w:rPr>
        <w:t>uphold the integrity of installed applications and systems</w:t>
      </w:r>
    </w:p>
    <w:p w14:paraId="1251E327" w14:textId="449D77E5" w:rsidR="007A5CDB" w:rsidRDefault="007A5CDB" w:rsidP="00123127">
      <w:pPr>
        <w:numPr>
          <w:ilvl w:val="0"/>
          <w:numId w:val="3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Identification of malicious memory use and privilege escalation. </w:t>
      </w:r>
    </w:p>
    <w:p w14:paraId="680D65A7" w14:textId="4FB97689" w:rsidR="007A5CDB" w:rsidRPr="004217CB" w:rsidRDefault="007A5CDB" w:rsidP="00123127">
      <w:pPr>
        <w:numPr>
          <w:ilvl w:val="0"/>
          <w:numId w:val="3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Rigorous whitelisting and halting of unauthorized executions of scripts that could be malicious. </w:t>
      </w:r>
    </w:p>
    <w:p w14:paraId="51C73112" w14:textId="1A49E4D5" w:rsidR="008E07C3" w:rsidRDefault="008E07C3" w:rsidP="00123127">
      <w:pPr>
        <w:spacing w:line="480" w:lineRule="auto"/>
        <w:rPr>
          <w:sz w:val="20"/>
          <w:szCs w:val="20"/>
        </w:rPr>
      </w:pPr>
      <w:r w:rsidRPr="004217CB">
        <w:rPr>
          <w:b/>
          <w:sz w:val="20"/>
          <w:szCs w:val="20"/>
        </w:rPr>
        <w:t xml:space="preserve">Cost: </w:t>
      </w:r>
      <w:r w:rsidR="00487214" w:rsidRPr="00487214">
        <w:rPr>
          <w:bCs/>
          <w:sz w:val="20"/>
          <w:szCs w:val="20"/>
        </w:rPr>
        <w:t xml:space="preserve">One-year subscription </w:t>
      </w:r>
      <w:r w:rsidR="00487214" w:rsidRPr="00487214">
        <w:rPr>
          <w:bCs/>
          <w:sz w:val="20"/>
          <w:szCs w:val="20"/>
        </w:rPr>
        <w:t>start</w:t>
      </w:r>
      <w:r w:rsidR="00487214" w:rsidRPr="00487214">
        <w:rPr>
          <w:bCs/>
          <w:sz w:val="20"/>
          <w:szCs w:val="20"/>
        </w:rPr>
        <w:t>ing</w:t>
      </w:r>
      <w:r w:rsidR="00487214" w:rsidRPr="00487214">
        <w:rPr>
          <w:sz w:val="20"/>
          <w:szCs w:val="20"/>
        </w:rPr>
        <w:t xml:space="preserve"> at $45</w:t>
      </w:r>
      <w:r w:rsidR="00487214">
        <w:rPr>
          <w:sz w:val="20"/>
          <w:szCs w:val="20"/>
        </w:rPr>
        <w:t>/</w:t>
      </w:r>
      <w:r w:rsidR="00487214" w:rsidRPr="00487214">
        <w:rPr>
          <w:sz w:val="20"/>
          <w:szCs w:val="20"/>
        </w:rPr>
        <w:t>endpoint for 1-99 endpoints. Price decreases based on volume to $36 for up to 5,000 endpoints and $26 for over $50,000</w:t>
      </w:r>
      <w:r w:rsidR="00487214">
        <w:rPr>
          <w:sz w:val="20"/>
          <w:szCs w:val="20"/>
        </w:rPr>
        <w:t>.</w:t>
      </w:r>
    </w:p>
    <w:p w14:paraId="63E0EB1E" w14:textId="77777777" w:rsidR="00487214" w:rsidRPr="00487214" w:rsidRDefault="00487214" w:rsidP="00123127">
      <w:pPr>
        <w:spacing w:line="480" w:lineRule="auto"/>
        <w:rPr>
          <w:sz w:val="20"/>
          <w:szCs w:val="20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675"/>
        <w:gridCol w:w="5490"/>
      </w:tblGrid>
      <w:tr w:rsidR="008E07C3" w:rsidRPr="004217CB" w14:paraId="495172F8" w14:textId="77777777" w:rsidTr="00DB4854">
        <w:tc>
          <w:tcPr>
            <w:tcW w:w="4675" w:type="dxa"/>
          </w:tcPr>
          <w:p w14:paraId="61B256AE" w14:textId="77777777" w:rsidR="008E07C3" w:rsidRPr="004217CB" w:rsidRDefault="008E07C3" w:rsidP="00673152">
            <w:pPr>
              <w:spacing w:after="160" w:line="480" w:lineRule="auto"/>
              <w:jc w:val="center"/>
              <w:rPr>
                <w:b/>
                <w:sz w:val="20"/>
                <w:szCs w:val="20"/>
              </w:rPr>
            </w:pPr>
            <w:r w:rsidRPr="004217CB">
              <w:rPr>
                <w:b/>
                <w:sz w:val="20"/>
                <w:szCs w:val="20"/>
              </w:rPr>
              <w:lastRenderedPageBreak/>
              <w:t>PROS</w:t>
            </w:r>
          </w:p>
        </w:tc>
        <w:tc>
          <w:tcPr>
            <w:tcW w:w="5490" w:type="dxa"/>
          </w:tcPr>
          <w:p w14:paraId="11B43492" w14:textId="77777777" w:rsidR="008E07C3" w:rsidRPr="004217CB" w:rsidRDefault="008E07C3" w:rsidP="00673152">
            <w:pPr>
              <w:spacing w:after="160" w:line="480" w:lineRule="auto"/>
              <w:jc w:val="center"/>
              <w:rPr>
                <w:b/>
                <w:sz w:val="20"/>
                <w:szCs w:val="20"/>
              </w:rPr>
            </w:pPr>
            <w:r w:rsidRPr="004217CB">
              <w:rPr>
                <w:b/>
                <w:sz w:val="20"/>
                <w:szCs w:val="20"/>
              </w:rPr>
              <w:t>CONS</w:t>
            </w:r>
          </w:p>
        </w:tc>
      </w:tr>
      <w:tr w:rsidR="008E07C3" w:rsidRPr="004217CB" w14:paraId="7BA8872C" w14:textId="77777777" w:rsidTr="00DB4854">
        <w:tc>
          <w:tcPr>
            <w:tcW w:w="4675" w:type="dxa"/>
          </w:tcPr>
          <w:p w14:paraId="54B47B32" w14:textId="5398E291" w:rsidR="008E07C3" w:rsidRPr="004217CB" w:rsidRDefault="00487214" w:rsidP="00123127">
            <w:pPr>
              <w:spacing w:after="160"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Device usage access control policy enforcement</w:t>
            </w:r>
          </w:p>
        </w:tc>
        <w:tc>
          <w:tcPr>
            <w:tcW w:w="5490" w:type="dxa"/>
          </w:tcPr>
          <w:p w14:paraId="2AE7049B" w14:textId="7364B0CB" w:rsidR="008E07C3" w:rsidRPr="004217CB" w:rsidRDefault="00487214" w:rsidP="00123127">
            <w:pPr>
              <w:spacing w:after="160"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feature seems to be redundant as most organizations use applications that allow administrators to set up proper access controls for employees. </w:t>
            </w:r>
          </w:p>
        </w:tc>
      </w:tr>
      <w:tr w:rsidR="008E07C3" w:rsidRPr="004217CB" w14:paraId="3F4A6194" w14:textId="77777777" w:rsidTr="00DB4854">
        <w:tc>
          <w:tcPr>
            <w:tcW w:w="4675" w:type="dxa"/>
          </w:tcPr>
          <w:p w14:paraId="0B568D29" w14:textId="41ECFE00" w:rsidR="008E07C3" w:rsidRPr="004217CB" w:rsidRDefault="000E5BD9" w:rsidP="00123127">
            <w:pPr>
              <w:spacing w:after="160"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l</w:t>
            </w:r>
            <w:r w:rsidR="007A5CDB">
              <w:rPr>
                <w:sz w:val="20"/>
                <w:szCs w:val="20"/>
              </w:rPr>
              <w:t>ightweight single</w:t>
            </w:r>
            <w:r w:rsidR="00340B55">
              <w:rPr>
                <w:sz w:val="20"/>
                <w:szCs w:val="20"/>
              </w:rPr>
              <w:t>-</w:t>
            </w:r>
            <w:r w:rsidR="007A5CDB">
              <w:rPr>
                <w:sz w:val="20"/>
                <w:szCs w:val="20"/>
              </w:rPr>
              <w:t xml:space="preserve">agent allows easy integration with existing software management and security tools. </w:t>
            </w:r>
          </w:p>
        </w:tc>
        <w:tc>
          <w:tcPr>
            <w:tcW w:w="5490" w:type="dxa"/>
          </w:tcPr>
          <w:p w14:paraId="12722036" w14:textId="0E05A733" w:rsidR="008E07C3" w:rsidRPr="004217CB" w:rsidRDefault="007A5CDB" w:rsidP="00123127">
            <w:pPr>
              <w:spacing w:after="160"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Cylance PROTECT</w:t>
            </w:r>
            <w:r>
              <w:rPr>
                <w:sz w:val="20"/>
                <w:szCs w:val="20"/>
              </w:rPr>
              <w:t xml:space="preserve"> can’t </w:t>
            </w:r>
            <w:r w:rsidR="00E875CC">
              <w:rPr>
                <w:sz w:val="20"/>
                <w:szCs w:val="20"/>
              </w:rPr>
              <w:t>solely</w:t>
            </w:r>
            <w:r>
              <w:rPr>
                <w:sz w:val="20"/>
                <w:szCs w:val="20"/>
              </w:rPr>
              <w:t xml:space="preserve"> be used as the onl</w:t>
            </w:r>
            <w:r w:rsidR="00E875CC">
              <w:rPr>
                <w:sz w:val="20"/>
                <w:szCs w:val="20"/>
              </w:rPr>
              <w:t xml:space="preserve">y security solution since it lacks </w:t>
            </w:r>
            <w:r w:rsidR="00234F28">
              <w:rPr>
                <w:sz w:val="20"/>
                <w:szCs w:val="20"/>
              </w:rPr>
              <w:t xml:space="preserve">detection and responding features to potential attacks. </w:t>
            </w:r>
          </w:p>
        </w:tc>
      </w:tr>
      <w:tr w:rsidR="00682B27" w:rsidRPr="004217CB" w14:paraId="2548CD32" w14:textId="77777777" w:rsidTr="00DB4854">
        <w:tc>
          <w:tcPr>
            <w:tcW w:w="4675" w:type="dxa"/>
          </w:tcPr>
          <w:p w14:paraId="2F044417" w14:textId="2219193C" w:rsidR="00682B27" w:rsidRDefault="00682B27" w:rsidP="00123127"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682B27">
              <w:rPr>
                <w:sz w:val="20"/>
                <w:szCs w:val="20"/>
              </w:rPr>
              <w:t>enders malware, ransomware, viruses, bots, and zero-day attacks useless in real</w:t>
            </w:r>
            <w:r w:rsidR="00340B55">
              <w:rPr>
                <w:sz w:val="20"/>
                <w:szCs w:val="20"/>
              </w:rPr>
              <w:t>-</w:t>
            </w:r>
            <w:r w:rsidRPr="00682B27">
              <w:rPr>
                <w:sz w:val="20"/>
                <w:szCs w:val="20"/>
              </w:rPr>
              <w:t>time at machine speed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5490" w:type="dxa"/>
          </w:tcPr>
          <w:p w14:paraId="51B4EF2F" w14:textId="251FFBCD" w:rsidR="00682B27" w:rsidRDefault="00682B27" w:rsidP="00123127"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Cylance PROTECT</w:t>
            </w:r>
            <w:r>
              <w:rPr>
                <w:sz w:val="20"/>
                <w:szCs w:val="20"/>
              </w:rPr>
              <w:t xml:space="preserve"> doesn’t use traditional means such as signatures </w:t>
            </w:r>
            <w:r w:rsidR="001F19F2">
              <w:rPr>
                <w:sz w:val="20"/>
                <w:szCs w:val="20"/>
              </w:rPr>
              <w:t xml:space="preserve">analysis, which is still used by some malware to prevent attacks. </w:t>
            </w:r>
          </w:p>
        </w:tc>
      </w:tr>
    </w:tbl>
    <w:p w14:paraId="238E39D1" w14:textId="77777777" w:rsidR="008E07C3" w:rsidRPr="004217CB" w:rsidRDefault="008E07C3" w:rsidP="00123127">
      <w:pPr>
        <w:spacing w:line="480" w:lineRule="auto"/>
        <w:rPr>
          <w:sz w:val="20"/>
          <w:szCs w:val="20"/>
        </w:rPr>
      </w:pPr>
      <w:bookmarkStart w:id="3" w:name="_GoBack"/>
      <w:bookmarkEnd w:id="3"/>
    </w:p>
    <w:p w14:paraId="62F2318E" w14:textId="5A451C29" w:rsidR="00123127" w:rsidRPr="00BB0427" w:rsidRDefault="00123127" w:rsidP="00123127">
      <w:pPr>
        <w:spacing w:line="480" w:lineRule="auto"/>
        <w:rPr>
          <w:b/>
          <w:bCs/>
          <w:sz w:val="20"/>
          <w:szCs w:val="20"/>
        </w:rPr>
      </w:pPr>
      <w:r w:rsidRPr="00BB0427">
        <w:rPr>
          <w:b/>
          <w:bCs/>
          <w:sz w:val="20"/>
          <w:szCs w:val="20"/>
        </w:rPr>
        <w:t>Expert Decision:</w:t>
      </w:r>
    </w:p>
    <w:p w14:paraId="026C1770" w14:textId="569419CC" w:rsidR="00BB0427" w:rsidRDefault="00BB0427" w:rsidP="00123127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As most cybersecurity vendors, Carbon Black, FireEye, and Cylance provide unique security solutions to protect organizations against </w:t>
      </w:r>
      <w:r w:rsidRPr="00BB0427">
        <w:rPr>
          <w:sz w:val="20"/>
          <w:szCs w:val="20"/>
        </w:rPr>
        <w:t>advanced malware</w:t>
      </w:r>
      <w:r>
        <w:rPr>
          <w:sz w:val="20"/>
          <w:szCs w:val="20"/>
        </w:rPr>
        <w:t xml:space="preserve"> and the continuously changing threat landscape. However, careful analysis of these solutions reve</w:t>
      </w:r>
      <w:r w:rsidR="00340B55">
        <w:rPr>
          <w:sz w:val="20"/>
          <w:szCs w:val="20"/>
        </w:rPr>
        <w:t>a</w:t>
      </w:r>
      <w:r>
        <w:rPr>
          <w:sz w:val="20"/>
          <w:szCs w:val="20"/>
        </w:rPr>
        <w:t xml:space="preserve">ls that FireEye’s </w:t>
      </w:r>
      <w:r>
        <w:rPr>
          <w:sz w:val="20"/>
          <w:szCs w:val="20"/>
        </w:rPr>
        <w:t>FireEye Network Security solution</w:t>
      </w:r>
      <w:r>
        <w:rPr>
          <w:sz w:val="20"/>
          <w:szCs w:val="20"/>
        </w:rPr>
        <w:t xml:space="preserve"> is the best fit for our company’s needs. The various reasons for selecting this product with a detail comparison and </w:t>
      </w:r>
      <w:r w:rsidRPr="004217CB">
        <w:rPr>
          <w:sz w:val="20"/>
          <w:szCs w:val="20"/>
        </w:rPr>
        <w:t>contrast</w:t>
      </w:r>
      <w:r>
        <w:rPr>
          <w:sz w:val="20"/>
          <w:szCs w:val="20"/>
        </w:rPr>
        <w:t xml:space="preserve"> include: </w:t>
      </w:r>
    </w:p>
    <w:p w14:paraId="332197C8" w14:textId="21B27736" w:rsidR="00BB0427" w:rsidRDefault="002A2B77" w:rsidP="00BB0427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In addition to easy installation or integration with </w:t>
      </w:r>
      <w:r w:rsidR="00BB0427">
        <w:rPr>
          <w:sz w:val="20"/>
          <w:szCs w:val="20"/>
        </w:rPr>
        <w:t xml:space="preserve">other solutions, </w:t>
      </w:r>
      <w:r w:rsidR="00BB0427">
        <w:rPr>
          <w:sz w:val="20"/>
          <w:szCs w:val="20"/>
        </w:rPr>
        <w:t>FireEye Network Security solution</w:t>
      </w:r>
      <w:r w:rsidR="00BB0427">
        <w:rPr>
          <w:sz w:val="20"/>
          <w:szCs w:val="20"/>
        </w:rPr>
        <w:t xml:space="preserve"> </w:t>
      </w:r>
      <w:r>
        <w:rPr>
          <w:sz w:val="20"/>
          <w:szCs w:val="20"/>
        </w:rPr>
        <w:t>provides enhanced i</w:t>
      </w:r>
      <w:r w:rsidRPr="002A2B77">
        <w:rPr>
          <w:sz w:val="20"/>
          <w:szCs w:val="20"/>
        </w:rPr>
        <w:t>ntegrat</w:t>
      </w:r>
      <w:r>
        <w:rPr>
          <w:sz w:val="20"/>
          <w:szCs w:val="20"/>
        </w:rPr>
        <w:t>ion across</w:t>
      </w:r>
      <w:r w:rsidRPr="002A2B77">
        <w:rPr>
          <w:sz w:val="20"/>
          <w:szCs w:val="20"/>
        </w:rPr>
        <w:t>, distributed, physical, virtual, on-premise</w:t>
      </w:r>
      <w:r w:rsidR="00340B55">
        <w:rPr>
          <w:sz w:val="20"/>
          <w:szCs w:val="20"/>
        </w:rPr>
        <w:t>,</w:t>
      </w:r>
      <w:r w:rsidRPr="002A2B77">
        <w:rPr>
          <w:sz w:val="20"/>
          <w:szCs w:val="20"/>
        </w:rPr>
        <w:t xml:space="preserve"> and cloud deployment options</w:t>
      </w:r>
      <w:r>
        <w:rPr>
          <w:sz w:val="20"/>
          <w:szCs w:val="20"/>
        </w:rPr>
        <w:t xml:space="preserve">, which the other two lack. </w:t>
      </w:r>
      <w:r w:rsidR="008C795D">
        <w:rPr>
          <w:sz w:val="20"/>
          <w:szCs w:val="20"/>
        </w:rPr>
        <w:t xml:space="preserve">This security capability is critical as </w:t>
      </w:r>
      <w:r w:rsidR="009C42B1">
        <w:rPr>
          <w:sz w:val="20"/>
          <w:szCs w:val="20"/>
        </w:rPr>
        <w:t xml:space="preserve">most companies have hybrid environments (on-premise and cloud) or will soon transition to using the cloud for their workloads. </w:t>
      </w:r>
    </w:p>
    <w:p w14:paraId="7F259A98" w14:textId="66CBD6F6" w:rsidR="002A2B77" w:rsidRDefault="002A2B77" w:rsidP="00BB0427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FireEye Network Security solution</w:t>
      </w:r>
      <w:r>
        <w:rPr>
          <w:sz w:val="20"/>
          <w:szCs w:val="20"/>
        </w:rPr>
        <w:t xml:space="preserve"> provides </w:t>
      </w:r>
      <w:r w:rsidRPr="002A2B77">
        <w:rPr>
          <w:sz w:val="20"/>
          <w:szCs w:val="20"/>
        </w:rPr>
        <w:t>protection against evasive attacks, zero-day, endpoint containment, and incident response</w:t>
      </w:r>
      <w:r>
        <w:rPr>
          <w:sz w:val="20"/>
          <w:szCs w:val="20"/>
        </w:rPr>
        <w:t xml:space="preserve">. These capabilities are different from </w:t>
      </w:r>
      <w:r>
        <w:rPr>
          <w:sz w:val="20"/>
          <w:szCs w:val="20"/>
        </w:rPr>
        <w:t>Carbon Black</w:t>
      </w:r>
      <w:r>
        <w:rPr>
          <w:sz w:val="20"/>
          <w:szCs w:val="20"/>
        </w:rPr>
        <w:t>’s solution</w:t>
      </w:r>
      <w:r w:rsidR="00340B55">
        <w:rPr>
          <w:sz w:val="20"/>
          <w:szCs w:val="20"/>
        </w:rPr>
        <w:t>,</w:t>
      </w:r>
      <w:r>
        <w:rPr>
          <w:sz w:val="20"/>
          <w:szCs w:val="20"/>
        </w:rPr>
        <w:t xml:space="preserve"> which primarily focuses on endpoints and malware protection. It is also different from </w:t>
      </w:r>
      <w:r>
        <w:rPr>
          <w:sz w:val="20"/>
          <w:szCs w:val="20"/>
        </w:rPr>
        <w:t>Cylance</w:t>
      </w:r>
      <w:r>
        <w:rPr>
          <w:sz w:val="20"/>
          <w:szCs w:val="20"/>
        </w:rPr>
        <w:t xml:space="preserve">’s security solution, which focuses only on prevention and not detection. </w:t>
      </w:r>
    </w:p>
    <w:p w14:paraId="7ECF65EC" w14:textId="563DF59E" w:rsidR="002A2B77" w:rsidRDefault="002A2B77" w:rsidP="00BB0427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FireEye Network Security solution</w:t>
      </w:r>
      <w:r>
        <w:rPr>
          <w:sz w:val="20"/>
          <w:szCs w:val="20"/>
        </w:rPr>
        <w:t xml:space="preserve"> </w:t>
      </w:r>
      <w:r w:rsidR="00772C78">
        <w:rPr>
          <w:sz w:val="20"/>
          <w:szCs w:val="20"/>
        </w:rPr>
        <w:t>uses multi-layer protection</w:t>
      </w:r>
      <w:r w:rsidR="00340B55">
        <w:rPr>
          <w:sz w:val="20"/>
          <w:szCs w:val="20"/>
        </w:rPr>
        <w:t>,</w:t>
      </w:r>
      <w:r w:rsidR="00772C78">
        <w:rPr>
          <w:sz w:val="20"/>
          <w:szCs w:val="20"/>
        </w:rPr>
        <w:t xml:space="preserve"> including </w:t>
      </w:r>
      <w:r>
        <w:rPr>
          <w:sz w:val="20"/>
          <w:szCs w:val="20"/>
        </w:rPr>
        <w:t>analy</w:t>
      </w:r>
      <w:r w:rsidR="00772C78">
        <w:rPr>
          <w:sz w:val="20"/>
          <w:szCs w:val="20"/>
        </w:rPr>
        <w:t>sis of</w:t>
      </w:r>
      <w:r>
        <w:rPr>
          <w:sz w:val="20"/>
          <w:szCs w:val="20"/>
        </w:rPr>
        <w:t xml:space="preserve"> internet traffic to </w:t>
      </w:r>
      <w:r w:rsidRPr="002A2B77">
        <w:rPr>
          <w:sz w:val="20"/>
          <w:szCs w:val="20"/>
        </w:rPr>
        <w:t>accurately detects and immediately stops advanced, targeted</w:t>
      </w:r>
      <w:r w:rsidR="00340B55">
        <w:rPr>
          <w:sz w:val="20"/>
          <w:szCs w:val="20"/>
        </w:rPr>
        <w:t>,</w:t>
      </w:r>
      <w:r w:rsidRPr="002A2B77">
        <w:rPr>
          <w:sz w:val="20"/>
          <w:szCs w:val="20"/>
        </w:rPr>
        <w:t xml:space="preserve"> and other evasive attacks</w:t>
      </w:r>
      <w:r>
        <w:rPr>
          <w:sz w:val="20"/>
          <w:szCs w:val="20"/>
        </w:rPr>
        <w:t xml:space="preserve">, while the other </w:t>
      </w:r>
      <w:r w:rsidR="00772C78">
        <w:rPr>
          <w:sz w:val="20"/>
          <w:szCs w:val="20"/>
        </w:rPr>
        <w:t>primarily focus on traditional signature monitoring, file integrity</w:t>
      </w:r>
      <w:r w:rsidR="00340B55">
        <w:rPr>
          <w:sz w:val="20"/>
          <w:szCs w:val="20"/>
        </w:rPr>
        <w:t>,</w:t>
      </w:r>
      <w:r w:rsidR="00772C78">
        <w:rPr>
          <w:sz w:val="20"/>
          <w:szCs w:val="20"/>
        </w:rPr>
        <w:t xml:space="preserve"> or AI to identify threats. </w:t>
      </w:r>
    </w:p>
    <w:p w14:paraId="736E8DC4" w14:textId="5ABB8FF4" w:rsidR="00772C78" w:rsidRPr="00BB0427" w:rsidRDefault="00772C78" w:rsidP="00BB0427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FireEye Network Security solution</w:t>
      </w:r>
      <w:r>
        <w:rPr>
          <w:sz w:val="20"/>
          <w:szCs w:val="20"/>
        </w:rPr>
        <w:t xml:space="preserve"> provides the scalability to scale to thousands of sites, in turn supporting business growth with a short payback period when the organization protects more assets. </w:t>
      </w:r>
      <w:r w:rsidR="008C795D">
        <w:rPr>
          <w:sz w:val="20"/>
          <w:szCs w:val="20"/>
        </w:rPr>
        <w:t xml:space="preserve">This cost advantage doesn’t seem to </w:t>
      </w:r>
      <w:r w:rsidR="00C03E63">
        <w:rPr>
          <w:sz w:val="20"/>
          <w:szCs w:val="20"/>
        </w:rPr>
        <w:t>exist</w:t>
      </w:r>
      <w:r w:rsidR="008C795D">
        <w:rPr>
          <w:sz w:val="20"/>
          <w:szCs w:val="20"/>
        </w:rPr>
        <w:t xml:space="preserve"> with Carbon Black’s and </w:t>
      </w:r>
      <w:r w:rsidR="00C03E63">
        <w:rPr>
          <w:sz w:val="20"/>
          <w:szCs w:val="20"/>
        </w:rPr>
        <w:t>Cylance</w:t>
      </w:r>
      <w:r w:rsidR="00C03E63">
        <w:rPr>
          <w:sz w:val="20"/>
          <w:szCs w:val="20"/>
        </w:rPr>
        <w:t>’s solutions since pricing is determined per endpoint that is protected.</w:t>
      </w:r>
    </w:p>
    <w:sectPr w:rsidR="00772C78" w:rsidRPr="00BB0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F3FA4"/>
    <w:multiLevelType w:val="hybridMultilevel"/>
    <w:tmpl w:val="B4C0A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61520"/>
    <w:multiLevelType w:val="hybridMultilevel"/>
    <w:tmpl w:val="3F2CFB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57200"/>
    <w:multiLevelType w:val="hybridMultilevel"/>
    <w:tmpl w:val="31AE5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F5E01"/>
    <w:multiLevelType w:val="hybridMultilevel"/>
    <w:tmpl w:val="4F7E0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C3"/>
    <w:rsid w:val="000263F2"/>
    <w:rsid w:val="00076727"/>
    <w:rsid w:val="000A22D7"/>
    <w:rsid w:val="000B34B5"/>
    <w:rsid w:val="000E5BD9"/>
    <w:rsid w:val="00123127"/>
    <w:rsid w:val="001945B0"/>
    <w:rsid w:val="001B7050"/>
    <w:rsid w:val="001F19F2"/>
    <w:rsid w:val="0022066F"/>
    <w:rsid w:val="00234F28"/>
    <w:rsid w:val="002445A0"/>
    <w:rsid w:val="002A2B77"/>
    <w:rsid w:val="00340B55"/>
    <w:rsid w:val="004217CB"/>
    <w:rsid w:val="00473BA9"/>
    <w:rsid w:val="00487214"/>
    <w:rsid w:val="004F5A18"/>
    <w:rsid w:val="00510392"/>
    <w:rsid w:val="005A5C98"/>
    <w:rsid w:val="00626C05"/>
    <w:rsid w:val="00673152"/>
    <w:rsid w:val="00682B27"/>
    <w:rsid w:val="007568DB"/>
    <w:rsid w:val="00772C78"/>
    <w:rsid w:val="007A5CDB"/>
    <w:rsid w:val="007F1BE5"/>
    <w:rsid w:val="008C795D"/>
    <w:rsid w:val="008E07C3"/>
    <w:rsid w:val="00965BAC"/>
    <w:rsid w:val="009C42B1"/>
    <w:rsid w:val="00A12F8B"/>
    <w:rsid w:val="00AE42B3"/>
    <w:rsid w:val="00B309B7"/>
    <w:rsid w:val="00BA016B"/>
    <w:rsid w:val="00BB0427"/>
    <w:rsid w:val="00BB6A47"/>
    <w:rsid w:val="00BD4EF7"/>
    <w:rsid w:val="00C03E63"/>
    <w:rsid w:val="00C81A3F"/>
    <w:rsid w:val="00C83EA2"/>
    <w:rsid w:val="00C96B33"/>
    <w:rsid w:val="00DB4854"/>
    <w:rsid w:val="00E875CC"/>
    <w:rsid w:val="00EC17DD"/>
    <w:rsid w:val="00F82DA9"/>
    <w:rsid w:val="00F86455"/>
    <w:rsid w:val="00FF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891C"/>
  <w15:chartTrackingRefBased/>
  <w15:docId w15:val="{D08F4B06-431B-4FF1-BAFB-6842A043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0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Natnael kebede</dc:creator>
  <cp:keywords/>
  <dc:description/>
  <cp:lastModifiedBy>Natnael kebede</cp:lastModifiedBy>
  <cp:revision>25</cp:revision>
  <dcterms:created xsi:type="dcterms:W3CDTF">2020-03-21T23:18:00Z</dcterms:created>
  <dcterms:modified xsi:type="dcterms:W3CDTF">2020-03-23T03:16:00Z</dcterms:modified>
</cp:coreProperties>
</file>