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Brooks-Knox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4364 Marshall Stravenue Apt. 253</w:t>
              <w:br/>
              <w:t>Richardland, MI 43608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+33198188338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2016-04-12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Jeremy Scott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+33013833283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163 Ward Mews</w:t>
              <w:br/>
              <w:t>Warrenbury, KY 31512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aggregate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370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