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Ramos Inc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PSC 5187, Box 1687</w:t>
              <w:br/>
              <w:t>APO AE 74611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+33614703518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2003-04-11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Richard Hartman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+33014823664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14006 Garcia Port Apt. 982</w:t>
              <w:br/>
              <w:t>West Rachelchester, VT 82065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jigsaw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15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480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