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White, Cowan and Lara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1318 Thomas Drives</w:t>
              <w:br/>
              <w:t>New Jacobmouth, TN 91336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+33203604402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1976-08-20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William Beck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+33072700450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7171 Solomon Groves Suite 171</w:t>
              <w:br/>
              <w:t>East Lauren, MS 22471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gusset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280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