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5C4" w:rsidRDefault="007E15C4">
      <w:pPr>
        <w:pBdr>
          <w:top w:val="nil"/>
          <w:left w:val="nil"/>
          <w:bottom w:val="nil"/>
          <w:right w:val="nil"/>
          <w:between w:val="nil"/>
        </w:pBdr>
        <w:jc w:val="center"/>
        <w:rPr>
          <w:color w:val="000000"/>
          <w:sz w:val="27"/>
          <w:szCs w:val="27"/>
        </w:rPr>
      </w:pPr>
    </w:p>
    <w:p w:rsidR="007E15C4" w:rsidRDefault="009C7AD6">
      <w:pPr>
        <w:pBdr>
          <w:top w:val="nil"/>
          <w:left w:val="nil"/>
          <w:bottom w:val="nil"/>
          <w:right w:val="nil"/>
          <w:between w:val="nil"/>
        </w:pBdr>
        <w:jc w:val="center"/>
        <w:rPr>
          <w:color w:val="000000"/>
          <w:sz w:val="24"/>
          <w:szCs w:val="24"/>
        </w:rPr>
      </w:pPr>
      <w:r>
        <w:rPr>
          <w:b/>
          <w:color w:val="000000"/>
          <w:sz w:val="27"/>
          <w:szCs w:val="27"/>
        </w:rPr>
        <w:t>ЛІЦЕНЗІЙНА УГОДА</w:t>
      </w:r>
      <w:r>
        <w:rPr>
          <w:b/>
          <w:color w:val="000000"/>
          <w:sz w:val="24"/>
          <w:szCs w:val="24"/>
        </w:rPr>
        <w:br/>
      </w:r>
    </w:p>
    <w:p w:rsidR="007E15C4" w:rsidRDefault="00945EFB">
      <w:pPr>
        <w:pBdr>
          <w:top w:val="nil"/>
          <w:left w:val="nil"/>
          <w:bottom w:val="nil"/>
          <w:right w:val="nil"/>
          <w:between w:val="nil"/>
        </w:pBdr>
        <w:jc w:val="center"/>
        <w:rPr>
          <w:color w:val="000000"/>
          <w:sz w:val="24"/>
          <w:szCs w:val="24"/>
        </w:rPr>
      </w:pPr>
      <w:r>
        <w:rPr>
          <w:b/>
          <w:color w:val="000000"/>
          <w:sz w:val="24"/>
          <w:szCs w:val="24"/>
        </w:rPr>
        <w:br/>
        <w:t>№ 1  від    «7» липня 2023</w:t>
      </w:r>
      <w:r w:rsidR="009C7AD6">
        <w:rPr>
          <w:b/>
          <w:color w:val="000000"/>
          <w:sz w:val="24"/>
          <w:szCs w:val="24"/>
        </w:rPr>
        <w:t xml:space="preserve"> року</w:t>
      </w:r>
    </w:p>
    <w:p w:rsidR="007E15C4" w:rsidRDefault="007E15C4">
      <w:pPr>
        <w:pBdr>
          <w:top w:val="nil"/>
          <w:left w:val="nil"/>
          <w:bottom w:val="nil"/>
          <w:right w:val="nil"/>
          <w:between w:val="nil"/>
        </w:pBdr>
        <w:jc w:val="center"/>
        <w:rPr>
          <w:color w:val="000000"/>
          <w:sz w:val="24"/>
          <w:szCs w:val="24"/>
        </w:rPr>
      </w:pPr>
    </w:p>
    <w:p w:rsidR="007E15C4" w:rsidRDefault="007E15C4">
      <w:pPr>
        <w:pBdr>
          <w:top w:val="nil"/>
          <w:left w:val="nil"/>
          <w:bottom w:val="nil"/>
          <w:right w:val="nil"/>
          <w:between w:val="nil"/>
        </w:pBdr>
        <w:jc w:val="center"/>
        <w:rPr>
          <w:color w:val="000000"/>
          <w:sz w:val="24"/>
          <w:szCs w:val="24"/>
        </w:rPr>
      </w:pPr>
    </w:p>
    <w:p w:rsidR="007E15C4" w:rsidRDefault="009C7AD6">
      <w:pPr>
        <w:keepNext/>
        <w:numPr>
          <w:ilvl w:val="0"/>
          <w:numId w:val="1"/>
        </w:numPr>
        <w:pBdr>
          <w:top w:val="nil"/>
          <w:left w:val="nil"/>
          <w:bottom w:val="nil"/>
          <w:right w:val="nil"/>
          <w:between w:val="nil"/>
        </w:pBdr>
        <w:spacing w:before="120" w:after="120"/>
        <w:ind w:left="714" w:hanging="357"/>
        <w:jc w:val="center"/>
        <w:rPr>
          <w:b/>
          <w:color w:val="000000"/>
          <w:sz w:val="24"/>
          <w:szCs w:val="24"/>
        </w:rPr>
      </w:pPr>
      <w:r>
        <w:rPr>
          <w:b/>
          <w:color w:val="000000"/>
          <w:sz w:val="24"/>
          <w:szCs w:val="24"/>
        </w:rPr>
        <w:t>Загальні положення</w:t>
      </w:r>
    </w:p>
    <w:p w:rsidR="007E15C4" w:rsidRDefault="009C7AD6" w:rsidP="00945EFB">
      <w:pPr>
        <w:numPr>
          <w:ilvl w:val="1"/>
          <w:numId w:val="1"/>
        </w:numPr>
        <w:pBdr>
          <w:top w:val="nil"/>
          <w:left w:val="nil"/>
          <w:bottom w:val="nil"/>
          <w:right w:val="nil"/>
          <w:between w:val="nil"/>
        </w:pBdr>
        <w:jc w:val="both"/>
        <w:rPr>
          <w:color w:val="000000"/>
          <w:sz w:val="24"/>
          <w:szCs w:val="24"/>
        </w:rPr>
      </w:pPr>
      <w:r>
        <w:rPr>
          <w:color w:val="000000"/>
          <w:sz w:val="24"/>
          <w:szCs w:val="24"/>
        </w:rPr>
        <w:t xml:space="preserve"> Ця Ліцензійна Угода (далі Угода) є офіційною угодою між </w:t>
      </w:r>
      <w:r>
        <w:rPr>
          <w:color w:val="000000"/>
          <w:sz w:val="24"/>
          <w:szCs w:val="24"/>
        </w:rPr>
        <w:t xml:space="preserve"> </w:t>
      </w:r>
      <w:r w:rsidR="00945EFB" w:rsidRPr="00945EFB">
        <w:rPr>
          <w:color w:val="000000"/>
          <w:sz w:val="24"/>
          <w:szCs w:val="24"/>
        </w:rPr>
        <w:t xml:space="preserve">ТОВ «Волонтерський HUB» </w:t>
      </w:r>
      <w:r>
        <w:rPr>
          <w:color w:val="000000"/>
          <w:sz w:val="24"/>
          <w:szCs w:val="24"/>
        </w:rPr>
        <w:t xml:space="preserve">(далі Ліцензіат), що є Ліцензіатом </w:t>
      </w:r>
      <w:r>
        <w:rPr>
          <w:b/>
          <w:color w:val="000000"/>
          <w:sz w:val="24"/>
          <w:szCs w:val="24"/>
        </w:rPr>
        <w:t>Авто</w:t>
      </w:r>
      <w:r w:rsidR="00945EFB">
        <w:rPr>
          <w:b/>
          <w:color w:val="000000"/>
          <w:sz w:val="24"/>
          <w:szCs w:val="24"/>
        </w:rPr>
        <w:t xml:space="preserve">матизованої системи управління </w:t>
      </w:r>
      <w:r w:rsidR="00945EFB" w:rsidRPr="00945EFB">
        <w:rPr>
          <w:b/>
          <w:color w:val="000000"/>
          <w:sz w:val="24"/>
          <w:szCs w:val="24"/>
        </w:rPr>
        <w:t>“</w:t>
      </w:r>
      <w:r w:rsidR="00945EFB">
        <w:rPr>
          <w:b/>
          <w:color w:val="000000"/>
          <w:sz w:val="24"/>
          <w:szCs w:val="24"/>
        </w:rPr>
        <w:t>Рука допомоги</w:t>
      </w:r>
      <w:r w:rsidR="00945EFB" w:rsidRPr="00945EFB">
        <w:rPr>
          <w:b/>
          <w:color w:val="000000"/>
          <w:sz w:val="24"/>
          <w:szCs w:val="24"/>
        </w:rPr>
        <w:t>”</w:t>
      </w:r>
      <w:r>
        <w:rPr>
          <w:b/>
          <w:color w:val="000000"/>
          <w:sz w:val="24"/>
          <w:szCs w:val="24"/>
        </w:rPr>
        <w:t xml:space="preserve"> </w:t>
      </w:r>
      <w:r>
        <w:rPr>
          <w:color w:val="000000"/>
          <w:sz w:val="24"/>
          <w:szCs w:val="24"/>
        </w:rPr>
        <w:t xml:space="preserve">(далі Програма), використання якої є предметом Угоди, і </w:t>
      </w:r>
      <w:r w:rsidR="00945EFB">
        <w:rPr>
          <w:b/>
          <w:color w:val="000000"/>
          <w:sz w:val="24"/>
          <w:szCs w:val="24"/>
        </w:rPr>
        <w:t>ТОВ "Фонд Притули</w:t>
      </w:r>
      <w:r>
        <w:rPr>
          <w:b/>
          <w:color w:val="000000"/>
          <w:sz w:val="24"/>
          <w:szCs w:val="24"/>
        </w:rPr>
        <w:t>"</w:t>
      </w:r>
      <w:r>
        <w:rPr>
          <w:color w:val="000000"/>
          <w:sz w:val="24"/>
          <w:szCs w:val="24"/>
        </w:rPr>
        <w:t xml:space="preserve"> (далі Ліцензіар), що є володарем майнового авторського права на Програму. </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 xml:space="preserve"> Програма складається з наступних частин:</w:t>
      </w:r>
    </w:p>
    <w:p w:rsidR="007E15C4" w:rsidRDefault="009C7AD6">
      <w:pPr>
        <w:numPr>
          <w:ilvl w:val="0"/>
          <w:numId w:val="2"/>
        </w:numPr>
        <w:pBdr>
          <w:top w:val="nil"/>
          <w:left w:val="nil"/>
          <w:bottom w:val="nil"/>
          <w:right w:val="nil"/>
          <w:between w:val="nil"/>
        </w:pBdr>
        <w:jc w:val="both"/>
        <w:rPr>
          <w:color w:val="000000"/>
          <w:sz w:val="24"/>
          <w:szCs w:val="24"/>
        </w:rPr>
      </w:pPr>
      <w:r>
        <w:rPr>
          <w:color w:val="000000"/>
          <w:sz w:val="24"/>
          <w:szCs w:val="24"/>
        </w:rPr>
        <w:t>база даних, яка встановлюється на сервері баз даних Ліцензіата і забезпечує зберігання даних Ліцензіата;</w:t>
      </w:r>
    </w:p>
    <w:p w:rsidR="007E15C4" w:rsidRDefault="009C7AD6">
      <w:pPr>
        <w:numPr>
          <w:ilvl w:val="0"/>
          <w:numId w:val="2"/>
        </w:numPr>
        <w:pBdr>
          <w:top w:val="nil"/>
          <w:left w:val="nil"/>
          <w:bottom w:val="nil"/>
          <w:right w:val="nil"/>
          <w:between w:val="nil"/>
        </w:pBdr>
        <w:jc w:val="both"/>
        <w:rPr>
          <w:color w:val="000000"/>
          <w:sz w:val="24"/>
          <w:szCs w:val="24"/>
        </w:rPr>
      </w:pPr>
      <w:r>
        <w:rPr>
          <w:color w:val="000000"/>
          <w:sz w:val="24"/>
          <w:szCs w:val="24"/>
        </w:rPr>
        <w:t>серверна частина, яка встановлюється на сервері застосувань Ліцензіата і забезпечує серверну бізнес-логіку Програми;</w:t>
      </w:r>
    </w:p>
    <w:p w:rsidR="007E15C4" w:rsidRDefault="009C7AD6">
      <w:pPr>
        <w:numPr>
          <w:ilvl w:val="0"/>
          <w:numId w:val="2"/>
        </w:numPr>
        <w:pBdr>
          <w:top w:val="nil"/>
          <w:left w:val="nil"/>
          <w:bottom w:val="nil"/>
          <w:right w:val="nil"/>
          <w:between w:val="nil"/>
        </w:pBdr>
        <w:jc w:val="both"/>
        <w:rPr>
          <w:color w:val="000000"/>
          <w:sz w:val="24"/>
          <w:szCs w:val="24"/>
        </w:rPr>
      </w:pPr>
      <w:r>
        <w:rPr>
          <w:color w:val="000000"/>
          <w:sz w:val="24"/>
          <w:szCs w:val="24"/>
        </w:rPr>
        <w:t xml:space="preserve">клієнтська частина (далі клієнт), </w:t>
      </w:r>
      <w:r>
        <w:rPr>
          <w:color w:val="000000"/>
          <w:sz w:val="24"/>
          <w:szCs w:val="24"/>
        </w:rPr>
        <w:t>яка встановлюється на кожному робочому місці комп'ютерної мережі Ліцензіата і використовується як інтерфейс для доступу до серверної частини, а також забезпечує клієнтську бізнес-логіку Програми;</w:t>
      </w:r>
    </w:p>
    <w:p w:rsidR="007E15C4" w:rsidRDefault="009C7AD6">
      <w:pPr>
        <w:numPr>
          <w:ilvl w:val="0"/>
          <w:numId w:val="2"/>
        </w:numPr>
        <w:pBdr>
          <w:top w:val="nil"/>
          <w:left w:val="nil"/>
          <w:bottom w:val="nil"/>
          <w:right w:val="nil"/>
          <w:between w:val="nil"/>
        </w:pBdr>
        <w:rPr>
          <w:color w:val="000000"/>
          <w:sz w:val="24"/>
          <w:szCs w:val="24"/>
        </w:rPr>
      </w:pPr>
      <w:r>
        <w:rPr>
          <w:color w:val="000000"/>
          <w:sz w:val="24"/>
          <w:szCs w:val="24"/>
        </w:rPr>
        <w:t>експлуатаційна документація на Програму.</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 xml:space="preserve"> Дія цієї Угоди не </w:t>
      </w:r>
      <w:r>
        <w:rPr>
          <w:color w:val="000000"/>
          <w:sz w:val="24"/>
          <w:szCs w:val="24"/>
        </w:rPr>
        <w:t>розповсюджується на системне програмне забезпечення, яке необхідне для роботи Програми, а також на дані Ліцензіата, що зберігаються в базі даних Програми.</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З моменту вступу Угоди в силу Ліцензіар має право вказувати найменування Ліцензіата в якості користув</w:t>
      </w:r>
      <w:r>
        <w:rPr>
          <w:color w:val="000000"/>
          <w:sz w:val="24"/>
          <w:szCs w:val="24"/>
        </w:rPr>
        <w:t>ача Програми в рекламних та інших матеріалах.</w:t>
      </w:r>
    </w:p>
    <w:p w:rsidR="007E15C4" w:rsidRDefault="009C7AD6">
      <w:pPr>
        <w:keepNext/>
        <w:numPr>
          <w:ilvl w:val="0"/>
          <w:numId w:val="1"/>
        </w:numPr>
        <w:pBdr>
          <w:top w:val="nil"/>
          <w:left w:val="nil"/>
          <w:bottom w:val="nil"/>
          <w:right w:val="nil"/>
          <w:between w:val="nil"/>
        </w:pBdr>
        <w:spacing w:before="120" w:after="120"/>
        <w:ind w:left="714" w:hanging="357"/>
        <w:jc w:val="center"/>
        <w:rPr>
          <w:b/>
          <w:color w:val="000000"/>
          <w:sz w:val="24"/>
          <w:szCs w:val="24"/>
        </w:rPr>
      </w:pPr>
      <w:r>
        <w:rPr>
          <w:b/>
          <w:color w:val="000000"/>
          <w:sz w:val="24"/>
          <w:szCs w:val="24"/>
        </w:rPr>
        <w:t>Права Ліцензіата</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З моменту вступу Угоди в силу, Ліцензіар надає Ліцензіату не виключне, безстрокове право (Ліцензію) на використання Програми, без дозволу передачі цього права третім особам.</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Використання Програми передбачає:</w:t>
      </w:r>
    </w:p>
    <w:p w:rsidR="007E15C4" w:rsidRDefault="009C7AD6">
      <w:pPr>
        <w:numPr>
          <w:ilvl w:val="0"/>
          <w:numId w:val="2"/>
        </w:numPr>
        <w:pBdr>
          <w:top w:val="nil"/>
          <w:left w:val="nil"/>
          <w:bottom w:val="nil"/>
          <w:right w:val="nil"/>
          <w:between w:val="nil"/>
        </w:pBdr>
        <w:jc w:val="both"/>
        <w:rPr>
          <w:color w:val="000000"/>
          <w:sz w:val="24"/>
          <w:szCs w:val="24"/>
        </w:rPr>
      </w:pPr>
      <w:r>
        <w:rPr>
          <w:color w:val="000000"/>
          <w:sz w:val="24"/>
          <w:szCs w:val="24"/>
        </w:rPr>
        <w:t>встановлення  і використання бази даних в кількості 30 (тридцять) інсталяцій на комп'ютерах Ліцензіата;</w:t>
      </w:r>
    </w:p>
    <w:p w:rsidR="007E15C4" w:rsidRDefault="009C7AD6">
      <w:pPr>
        <w:numPr>
          <w:ilvl w:val="0"/>
          <w:numId w:val="2"/>
        </w:numPr>
        <w:pBdr>
          <w:top w:val="nil"/>
          <w:left w:val="nil"/>
          <w:bottom w:val="nil"/>
          <w:right w:val="nil"/>
          <w:between w:val="nil"/>
        </w:pBdr>
        <w:jc w:val="both"/>
        <w:rPr>
          <w:color w:val="000000"/>
          <w:sz w:val="24"/>
          <w:szCs w:val="24"/>
        </w:rPr>
      </w:pPr>
      <w:r>
        <w:rPr>
          <w:color w:val="000000"/>
          <w:sz w:val="24"/>
          <w:szCs w:val="24"/>
        </w:rPr>
        <w:t>встановлення і використання  серверної частини в кількості 30 (тридцять) інсталяцій на комп'ютерах Ліцензіата;</w:t>
      </w:r>
    </w:p>
    <w:p w:rsidR="007E15C4" w:rsidRDefault="009C7AD6">
      <w:pPr>
        <w:numPr>
          <w:ilvl w:val="0"/>
          <w:numId w:val="2"/>
        </w:numPr>
        <w:pBdr>
          <w:top w:val="nil"/>
          <w:left w:val="nil"/>
          <w:bottom w:val="nil"/>
          <w:right w:val="nil"/>
          <w:between w:val="nil"/>
        </w:pBdr>
        <w:jc w:val="both"/>
        <w:rPr>
          <w:color w:val="000000"/>
          <w:sz w:val="24"/>
          <w:szCs w:val="24"/>
        </w:rPr>
      </w:pPr>
      <w:r>
        <w:rPr>
          <w:color w:val="000000"/>
          <w:sz w:val="24"/>
          <w:szCs w:val="24"/>
        </w:rPr>
        <w:t>встанов</w:t>
      </w:r>
      <w:r>
        <w:rPr>
          <w:color w:val="000000"/>
          <w:sz w:val="24"/>
          <w:szCs w:val="24"/>
        </w:rPr>
        <w:t>лення і використання  клієнта на будь-якій кількості комп'ютерів Ліцензіата;</w:t>
      </w:r>
    </w:p>
    <w:p w:rsidR="007E15C4" w:rsidRDefault="009C7AD6">
      <w:pPr>
        <w:numPr>
          <w:ilvl w:val="0"/>
          <w:numId w:val="2"/>
        </w:numPr>
        <w:pBdr>
          <w:top w:val="nil"/>
          <w:left w:val="nil"/>
          <w:bottom w:val="nil"/>
          <w:right w:val="nil"/>
          <w:between w:val="nil"/>
        </w:pBdr>
        <w:jc w:val="both"/>
        <w:rPr>
          <w:color w:val="000000"/>
          <w:sz w:val="24"/>
          <w:szCs w:val="24"/>
        </w:rPr>
      </w:pPr>
      <w:r>
        <w:rPr>
          <w:color w:val="000000"/>
          <w:sz w:val="24"/>
          <w:szCs w:val="24"/>
        </w:rPr>
        <w:t>створення Ліцензіатом резервних і архівних копій Програми (бази даних, серверної частини та клієнта);</w:t>
      </w:r>
    </w:p>
    <w:p w:rsidR="007E15C4" w:rsidRDefault="009C7AD6">
      <w:pPr>
        <w:numPr>
          <w:ilvl w:val="0"/>
          <w:numId w:val="2"/>
        </w:numPr>
        <w:pBdr>
          <w:top w:val="nil"/>
          <w:left w:val="nil"/>
          <w:bottom w:val="nil"/>
          <w:right w:val="nil"/>
          <w:between w:val="nil"/>
        </w:pBdr>
        <w:jc w:val="both"/>
        <w:rPr>
          <w:color w:val="000000"/>
          <w:sz w:val="24"/>
          <w:szCs w:val="24"/>
        </w:rPr>
      </w:pPr>
      <w:r>
        <w:rPr>
          <w:color w:val="000000"/>
          <w:sz w:val="24"/>
          <w:szCs w:val="24"/>
        </w:rPr>
        <w:t xml:space="preserve"> встановлення і використання пакетів оновлення Програми, що їх може випускати Ліцензіар, під час дії договору про супроводження або технічну підтримку Програми Ліцензіаром;</w:t>
      </w:r>
    </w:p>
    <w:p w:rsidR="007E15C4" w:rsidRDefault="009C7AD6">
      <w:pPr>
        <w:numPr>
          <w:ilvl w:val="0"/>
          <w:numId w:val="2"/>
        </w:numPr>
        <w:pBdr>
          <w:top w:val="nil"/>
          <w:left w:val="nil"/>
          <w:bottom w:val="nil"/>
          <w:right w:val="nil"/>
          <w:between w:val="nil"/>
        </w:pBdr>
        <w:jc w:val="both"/>
        <w:rPr>
          <w:color w:val="000000"/>
          <w:sz w:val="24"/>
          <w:szCs w:val="24"/>
        </w:rPr>
      </w:pPr>
      <w:r>
        <w:rPr>
          <w:color w:val="000000"/>
          <w:sz w:val="24"/>
          <w:szCs w:val="24"/>
        </w:rPr>
        <w:t>тиражування та використання експлуатаційної документації для персоналу Ліцензіата.</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Ліцензіат може використовувати на власний розсуд (копіювати, експортувати в інший формат, передавати третім особам) дані, що зберігаються в базі даних Програми.</w:t>
      </w:r>
    </w:p>
    <w:p w:rsidR="007E15C4" w:rsidRDefault="009C7AD6">
      <w:pPr>
        <w:keepNext/>
        <w:numPr>
          <w:ilvl w:val="0"/>
          <w:numId w:val="1"/>
        </w:numPr>
        <w:pBdr>
          <w:top w:val="nil"/>
          <w:left w:val="nil"/>
          <w:bottom w:val="nil"/>
          <w:right w:val="nil"/>
          <w:between w:val="nil"/>
        </w:pBdr>
        <w:spacing w:before="120" w:after="120"/>
        <w:ind w:left="714" w:hanging="357"/>
        <w:jc w:val="center"/>
        <w:rPr>
          <w:b/>
          <w:color w:val="000000"/>
          <w:sz w:val="24"/>
          <w:szCs w:val="24"/>
        </w:rPr>
      </w:pPr>
      <w:r>
        <w:rPr>
          <w:b/>
          <w:color w:val="000000"/>
          <w:sz w:val="24"/>
          <w:szCs w:val="24"/>
        </w:rPr>
        <w:t>Обов’язки Ліцензіата</w:t>
      </w:r>
    </w:p>
    <w:p w:rsidR="007E15C4" w:rsidRDefault="009C7AD6">
      <w:pPr>
        <w:pBdr>
          <w:top w:val="nil"/>
          <w:left w:val="nil"/>
          <w:bottom w:val="nil"/>
          <w:right w:val="nil"/>
          <w:between w:val="nil"/>
        </w:pBdr>
        <w:ind w:firstLine="357"/>
        <w:rPr>
          <w:color w:val="000000"/>
          <w:sz w:val="24"/>
          <w:szCs w:val="24"/>
        </w:rPr>
      </w:pPr>
      <w:r>
        <w:rPr>
          <w:color w:val="000000"/>
          <w:sz w:val="24"/>
          <w:szCs w:val="24"/>
        </w:rPr>
        <w:t>Ліцензіат зобов’язується:</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Використовувати Програму в режимі промислової ек</w:t>
      </w:r>
      <w:r>
        <w:rPr>
          <w:color w:val="000000"/>
          <w:sz w:val="24"/>
          <w:szCs w:val="24"/>
        </w:rPr>
        <w:t>сплуатації, що має підтверджуватись відповідними наказами про введення в промислову експлуатацію Програми та фактичним її використанням на об’єктах Ліцензіата.</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lastRenderedPageBreak/>
        <w:t>Виконувати всі умови Угоди.</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Забезпечувати тільки санкціоноване використання кожної копії Програм</w:t>
      </w:r>
      <w:r>
        <w:rPr>
          <w:color w:val="000000"/>
          <w:sz w:val="24"/>
          <w:szCs w:val="24"/>
        </w:rPr>
        <w:t>и (як на місці, так і в віддаленому режимі) відповідно до Угоди.</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Протягом 10 днів після закінчення дії ліцензії на Програму знищити всі копії Програми та її складові частини.</w:t>
      </w:r>
    </w:p>
    <w:p w:rsidR="007E15C4" w:rsidRDefault="009C7AD6">
      <w:pPr>
        <w:keepNext/>
        <w:numPr>
          <w:ilvl w:val="0"/>
          <w:numId w:val="1"/>
        </w:numPr>
        <w:pBdr>
          <w:top w:val="nil"/>
          <w:left w:val="nil"/>
          <w:bottom w:val="nil"/>
          <w:right w:val="nil"/>
          <w:between w:val="nil"/>
        </w:pBdr>
        <w:spacing w:before="120" w:after="120"/>
        <w:ind w:left="714" w:hanging="357"/>
        <w:jc w:val="center"/>
        <w:rPr>
          <w:b/>
          <w:color w:val="000000"/>
          <w:sz w:val="24"/>
          <w:szCs w:val="24"/>
        </w:rPr>
      </w:pPr>
      <w:r>
        <w:rPr>
          <w:b/>
          <w:color w:val="000000"/>
          <w:sz w:val="24"/>
          <w:szCs w:val="24"/>
        </w:rPr>
        <w:t>Ліцензійні обмеження</w:t>
      </w:r>
    </w:p>
    <w:p w:rsidR="007E15C4" w:rsidRDefault="009C7AD6">
      <w:pPr>
        <w:pBdr>
          <w:top w:val="nil"/>
          <w:left w:val="nil"/>
          <w:bottom w:val="nil"/>
          <w:right w:val="nil"/>
          <w:between w:val="nil"/>
        </w:pBdr>
        <w:ind w:firstLine="357"/>
        <w:rPr>
          <w:color w:val="000000"/>
          <w:sz w:val="24"/>
          <w:szCs w:val="24"/>
        </w:rPr>
      </w:pPr>
      <w:r>
        <w:rPr>
          <w:color w:val="000000"/>
          <w:sz w:val="24"/>
          <w:szCs w:val="24"/>
        </w:rPr>
        <w:t>Ліцензіат не має права:</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Розповсюджувати копії Програми або її складові частини поза межами організації Ліцензіата. Всі частини Програми є складовими Програми і підпадають під дію цієї Угоди.</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Декомпілювати або дизасемблювати Програму або її складові частини.</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Вносити несанкціонован</w:t>
      </w:r>
      <w:r>
        <w:rPr>
          <w:color w:val="000000"/>
          <w:sz w:val="24"/>
          <w:szCs w:val="24"/>
        </w:rPr>
        <w:t>і зміни в Програму, включаючи її складові частини.</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Перепродавати, здавати Програму в оренду, лізинг, або в інший спосіб передавати права на використання Програми третім особам.</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Видаляти чи змінювати інформацію про авторські права Ліцензіара, що вміщені в к</w:t>
      </w:r>
      <w:r>
        <w:rPr>
          <w:color w:val="000000"/>
          <w:sz w:val="24"/>
          <w:szCs w:val="24"/>
        </w:rPr>
        <w:t>оді Програми, як самостійно так і за допомогою третіх осіб.</w:t>
      </w:r>
    </w:p>
    <w:p w:rsidR="007E15C4" w:rsidRDefault="009C7AD6">
      <w:pPr>
        <w:keepNext/>
        <w:numPr>
          <w:ilvl w:val="0"/>
          <w:numId w:val="1"/>
        </w:numPr>
        <w:pBdr>
          <w:top w:val="nil"/>
          <w:left w:val="nil"/>
          <w:bottom w:val="nil"/>
          <w:right w:val="nil"/>
          <w:between w:val="nil"/>
        </w:pBdr>
        <w:spacing w:before="120" w:after="120"/>
        <w:ind w:left="714" w:hanging="357"/>
        <w:jc w:val="center"/>
        <w:rPr>
          <w:b/>
          <w:color w:val="000000"/>
          <w:sz w:val="24"/>
          <w:szCs w:val="24"/>
        </w:rPr>
      </w:pPr>
      <w:r>
        <w:rPr>
          <w:b/>
          <w:color w:val="000000"/>
          <w:sz w:val="24"/>
          <w:szCs w:val="24"/>
        </w:rPr>
        <w:t>Право власності</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Ліцензіат погоджується, що йому не передаються ніякі права власності на Програму, як інтелектуальну власність.</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Авторські майнові права та виключне право на використання Програми на</w:t>
      </w:r>
      <w:r>
        <w:rPr>
          <w:color w:val="000000"/>
          <w:sz w:val="24"/>
          <w:szCs w:val="24"/>
        </w:rPr>
        <w:t>лежить Ліцензіару.</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Виключне право на дозвіл або заборону використання Програми іншими особами належить Ліцензіару.</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Програма захищена авторським законодавством, а також міжнародними угодами.</w:t>
      </w:r>
    </w:p>
    <w:p w:rsidR="007E15C4" w:rsidRDefault="009C7AD6">
      <w:pPr>
        <w:keepNext/>
        <w:numPr>
          <w:ilvl w:val="0"/>
          <w:numId w:val="1"/>
        </w:numPr>
        <w:pBdr>
          <w:top w:val="nil"/>
          <w:left w:val="nil"/>
          <w:bottom w:val="nil"/>
          <w:right w:val="nil"/>
          <w:between w:val="nil"/>
        </w:pBdr>
        <w:spacing w:before="120" w:after="120"/>
        <w:ind w:left="714" w:hanging="357"/>
        <w:jc w:val="center"/>
        <w:rPr>
          <w:b/>
          <w:color w:val="000000"/>
          <w:sz w:val="24"/>
          <w:szCs w:val="24"/>
        </w:rPr>
      </w:pPr>
      <w:r>
        <w:rPr>
          <w:b/>
          <w:color w:val="000000"/>
          <w:sz w:val="24"/>
          <w:szCs w:val="24"/>
        </w:rPr>
        <w:t>Технічна підтримка та супровід</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Технічна підтримка та супровід Прог</w:t>
      </w:r>
      <w:r>
        <w:rPr>
          <w:color w:val="000000"/>
          <w:sz w:val="24"/>
          <w:szCs w:val="24"/>
        </w:rPr>
        <w:t xml:space="preserve">рами виконуються на основі окремого договору, який може укладатися сторонами і діє на протязі вказаного в ньому періоді. </w:t>
      </w:r>
    </w:p>
    <w:p w:rsidR="007E15C4" w:rsidRDefault="009C7AD6">
      <w:pPr>
        <w:keepNext/>
        <w:numPr>
          <w:ilvl w:val="0"/>
          <w:numId w:val="1"/>
        </w:numPr>
        <w:pBdr>
          <w:top w:val="nil"/>
          <w:left w:val="nil"/>
          <w:bottom w:val="nil"/>
          <w:right w:val="nil"/>
          <w:between w:val="nil"/>
        </w:pBdr>
        <w:spacing w:before="120" w:after="120"/>
        <w:ind w:left="714" w:hanging="357"/>
        <w:jc w:val="center"/>
        <w:rPr>
          <w:b/>
          <w:color w:val="000000"/>
          <w:sz w:val="24"/>
          <w:szCs w:val="24"/>
        </w:rPr>
      </w:pPr>
      <w:r>
        <w:rPr>
          <w:b/>
          <w:color w:val="000000"/>
          <w:sz w:val="24"/>
          <w:szCs w:val="24"/>
        </w:rPr>
        <w:t>Гарантії</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Ліцензіат визнає той факт, що будь-яке програмне забезпечення, включаючи Програму, не може бути повністю вільним від помилок.</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Ліцензіар гарантує виправлення помилок, що будуть виявлені в Програмі під час її використання, в найкоротше можливий термін при наявності діючого договору з Ліцензіатом на технічну підтримку або супровід Програми.</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Ліцензіар гарантує роботу Програми згідно експлуатаційної документації. Під дію гарантії не підпадають помилки, які виникли з причин:</w:t>
      </w:r>
    </w:p>
    <w:p w:rsidR="007E15C4" w:rsidRDefault="009C7AD6">
      <w:pPr>
        <w:numPr>
          <w:ilvl w:val="0"/>
          <w:numId w:val="2"/>
        </w:numPr>
        <w:pBdr>
          <w:top w:val="nil"/>
          <w:left w:val="nil"/>
          <w:bottom w:val="nil"/>
          <w:right w:val="nil"/>
          <w:between w:val="nil"/>
        </w:pBdr>
        <w:jc w:val="both"/>
        <w:rPr>
          <w:color w:val="000000"/>
          <w:sz w:val="24"/>
          <w:szCs w:val="24"/>
        </w:rPr>
      </w:pPr>
      <w:r>
        <w:rPr>
          <w:color w:val="000000"/>
          <w:sz w:val="24"/>
          <w:szCs w:val="24"/>
        </w:rPr>
        <w:t xml:space="preserve">збоїв операційної системи та іншого системного та прикладного програмного забезпечення, що встановлене на комп'ютерах, де </w:t>
      </w:r>
      <w:r>
        <w:rPr>
          <w:color w:val="000000"/>
          <w:sz w:val="24"/>
          <w:szCs w:val="24"/>
        </w:rPr>
        <w:t>функціонує Програма;</w:t>
      </w:r>
    </w:p>
    <w:p w:rsidR="007E15C4" w:rsidRDefault="009C7AD6">
      <w:pPr>
        <w:numPr>
          <w:ilvl w:val="0"/>
          <w:numId w:val="2"/>
        </w:numPr>
        <w:pBdr>
          <w:top w:val="nil"/>
          <w:left w:val="nil"/>
          <w:bottom w:val="nil"/>
          <w:right w:val="nil"/>
          <w:between w:val="nil"/>
        </w:pBdr>
        <w:jc w:val="both"/>
        <w:rPr>
          <w:color w:val="000000"/>
          <w:sz w:val="24"/>
          <w:szCs w:val="24"/>
        </w:rPr>
      </w:pPr>
      <w:r>
        <w:rPr>
          <w:color w:val="000000"/>
          <w:sz w:val="24"/>
          <w:szCs w:val="24"/>
        </w:rPr>
        <w:t>апаратних збоїв комп'ютерного обладнання, на якому функціонує Програма;</w:t>
      </w:r>
    </w:p>
    <w:p w:rsidR="007E15C4" w:rsidRDefault="009C7AD6">
      <w:pPr>
        <w:numPr>
          <w:ilvl w:val="0"/>
          <w:numId w:val="2"/>
        </w:numPr>
        <w:pBdr>
          <w:top w:val="nil"/>
          <w:left w:val="nil"/>
          <w:bottom w:val="nil"/>
          <w:right w:val="nil"/>
          <w:between w:val="nil"/>
        </w:pBdr>
        <w:jc w:val="both"/>
        <w:rPr>
          <w:color w:val="000000"/>
          <w:sz w:val="24"/>
          <w:szCs w:val="24"/>
        </w:rPr>
      </w:pPr>
      <w:r>
        <w:rPr>
          <w:color w:val="000000"/>
          <w:sz w:val="24"/>
          <w:szCs w:val="24"/>
        </w:rPr>
        <w:t>неправильних або некваліфікованих дій персоналу, який працює з Програмою, обслуговує програмне та апаратне забезпечення Ліцензіата, виконує резервне та архівне коп</w:t>
      </w:r>
      <w:r>
        <w:rPr>
          <w:color w:val="000000"/>
          <w:sz w:val="24"/>
          <w:szCs w:val="24"/>
        </w:rPr>
        <w:t>іювання Програми або інші дії, які можуть вплинути на роботу Програми чи цілісність даних;</w:t>
      </w:r>
    </w:p>
    <w:p w:rsidR="007E15C4" w:rsidRDefault="009C7AD6">
      <w:pPr>
        <w:numPr>
          <w:ilvl w:val="0"/>
          <w:numId w:val="2"/>
        </w:numPr>
        <w:pBdr>
          <w:top w:val="nil"/>
          <w:left w:val="nil"/>
          <w:bottom w:val="nil"/>
          <w:right w:val="nil"/>
          <w:between w:val="nil"/>
        </w:pBdr>
        <w:jc w:val="both"/>
        <w:rPr>
          <w:color w:val="000000"/>
          <w:sz w:val="24"/>
          <w:szCs w:val="24"/>
        </w:rPr>
      </w:pPr>
      <w:r>
        <w:rPr>
          <w:color w:val="000000"/>
          <w:sz w:val="24"/>
          <w:szCs w:val="24"/>
        </w:rPr>
        <w:t>несанкціонованого внесення або зміни інформації в базі даних персоналом Ліцензіата за допомогою інших програм;</w:t>
      </w:r>
    </w:p>
    <w:p w:rsidR="007E15C4" w:rsidRDefault="009C7AD6">
      <w:pPr>
        <w:numPr>
          <w:ilvl w:val="0"/>
          <w:numId w:val="2"/>
        </w:numPr>
        <w:pBdr>
          <w:top w:val="nil"/>
          <w:left w:val="nil"/>
          <w:bottom w:val="nil"/>
          <w:right w:val="nil"/>
          <w:between w:val="nil"/>
        </w:pBdr>
        <w:jc w:val="both"/>
        <w:rPr>
          <w:color w:val="000000"/>
          <w:sz w:val="24"/>
          <w:szCs w:val="24"/>
        </w:rPr>
      </w:pPr>
      <w:r>
        <w:rPr>
          <w:color w:val="000000"/>
          <w:sz w:val="24"/>
          <w:szCs w:val="24"/>
        </w:rPr>
        <w:t>інші причини, що не залежать від Ліцензіара.</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Ліцензіар наголошує, що елементи Програми, що не описані в експлуатаційній документації, не підпадають під дію гарантії.</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В разі виявлення Ліцензіатом помилки в роботі частин Програми, які підпадають під дію гарантії, Ліцензіат може надіслати Ліцензіару еле</w:t>
      </w:r>
      <w:r>
        <w:rPr>
          <w:color w:val="000000"/>
          <w:sz w:val="24"/>
          <w:szCs w:val="24"/>
        </w:rPr>
        <w:t xml:space="preserve">ктронною поштою опис помилки. Ліцензіар зобов'язується виправити частину програми, що спричинює вказану помилку, та надіслати </w:t>
      </w:r>
      <w:r>
        <w:rPr>
          <w:color w:val="000000"/>
          <w:sz w:val="24"/>
          <w:szCs w:val="24"/>
        </w:rPr>
        <w:lastRenderedPageBreak/>
        <w:t>Ліцензіатові виправлений її варіант. Опис помилки має включати опис дій Ліцензіата і результат, який він отримує від Програми, в т</w:t>
      </w:r>
      <w:r>
        <w:rPr>
          <w:color w:val="000000"/>
          <w:sz w:val="24"/>
          <w:szCs w:val="24"/>
        </w:rPr>
        <w:t>ермінах експлуатаційної документації Програми. Ліцензіар гарантує, що виправлення помилки буде виконано в технічно обґрунтовані строки.</w:t>
      </w:r>
    </w:p>
    <w:p w:rsidR="007E15C4" w:rsidRDefault="009C7AD6">
      <w:pPr>
        <w:keepNext/>
        <w:numPr>
          <w:ilvl w:val="0"/>
          <w:numId w:val="1"/>
        </w:numPr>
        <w:pBdr>
          <w:top w:val="nil"/>
          <w:left w:val="nil"/>
          <w:bottom w:val="nil"/>
          <w:right w:val="nil"/>
          <w:between w:val="nil"/>
        </w:pBdr>
        <w:spacing w:before="120" w:after="120"/>
        <w:ind w:left="714" w:hanging="357"/>
        <w:jc w:val="center"/>
        <w:rPr>
          <w:b/>
          <w:color w:val="000000"/>
          <w:sz w:val="24"/>
          <w:szCs w:val="24"/>
        </w:rPr>
      </w:pPr>
      <w:r>
        <w:rPr>
          <w:b/>
          <w:color w:val="000000"/>
          <w:sz w:val="24"/>
          <w:szCs w:val="24"/>
        </w:rPr>
        <w:t>Відповідальність</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Ліцензіар не несе ніякої відповідальності (фінансової, майнової та іншої) за будь яку шкоду, заподіяну роботою або непрацездатністю Програми, включаючи втрату або знищення даних, вигоду, що упущена, моральні збитки та іншу випадкову, непряму, ненавмисну шк</w:t>
      </w:r>
      <w:r>
        <w:rPr>
          <w:color w:val="000000"/>
          <w:sz w:val="24"/>
          <w:szCs w:val="24"/>
        </w:rPr>
        <w:t>оду, що є наслідком використання Програми або її непрацездатності.</w:t>
      </w:r>
    </w:p>
    <w:p w:rsidR="007E15C4" w:rsidRDefault="009C7AD6">
      <w:pPr>
        <w:keepNext/>
        <w:numPr>
          <w:ilvl w:val="0"/>
          <w:numId w:val="1"/>
        </w:numPr>
        <w:pBdr>
          <w:top w:val="nil"/>
          <w:left w:val="nil"/>
          <w:bottom w:val="nil"/>
          <w:right w:val="nil"/>
          <w:between w:val="nil"/>
        </w:pBdr>
        <w:spacing w:before="120" w:after="120"/>
        <w:ind w:left="714" w:hanging="357"/>
        <w:jc w:val="center"/>
        <w:rPr>
          <w:b/>
          <w:color w:val="000000"/>
          <w:sz w:val="24"/>
          <w:szCs w:val="24"/>
        </w:rPr>
      </w:pPr>
      <w:r>
        <w:rPr>
          <w:b/>
          <w:color w:val="000000"/>
          <w:sz w:val="24"/>
          <w:szCs w:val="24"/>
        </w:rPr>
        <w:t>Строк дії</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Угода вступає в силу з моменту підписання і діє на протязі всього строку використання Програми Ліцензіатом.</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Строк дії ліцензії автоматично припиняється в разі невиконання Ліцензіа</w:t>
      </w:r>
      <w:r>
        <w:rPr>
          <w:color w:val="000000"/>
          <w:sz w:val="24"/>
          <w:szCs w:val="24"/>
        </w:rPr>
        <w:t>том вимог цієї Угоди або іншого порушення Закону України "Про авторське право і суміжні права" у відношенні Ліцензіара з моменту отримання будь-якою з Сторін інформації про невиконання або порушення.</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Ліцензіат може самостійно припинити дію ліцензії, про що</w:t>
      </w:r>
      <w:r>
        <w:rPr>
          <w:color w:val="000000"/>
          <w:sz w:val="24"/>
          <w:szCs w:val="24"/>
        </w:rPr>
        <w:t xml:space="preserve"> повинен повідомити Ліцензіара офіційним листом. В такому випадку дія Ліцензії припиняється з моменту реєстрації листа будь-якою з Сторін.  При цьому Ліцензіат зобов'язаний припинити використання програми і знищити всі копії Програми і її складових частин </w:t>
      </w:r>
      <w:r>
        <w:rPr>
          <w:color w:val="000000"/>
          <w:sz w:val="24"/>
          <w:szCs w:val="24"/>
        </w:rPr>
        <w:t>згідно пункту 3.4. цієї Угоди.</w:t>
      </w:r>
    </w:p>
    <w:p w:rsidR="007E15C4" w:rsidRDefault="009C7AD6">
      <w:pPr>
        <w:keepNext/>
        <w:numPr>
          <w:ilvl w:val="0"/>
          <w:numId w:val="1"/>
        </w:numPr>
        <w:pBdr>
          <w:top w:val="nil"/>
          <w:left w:val="nil"/>
          <w:bottom w:val="nil"/>
          <w:right w:val="nil"/>
          <w:between w:val="nil"/>
        </w:pBdr>
        <w:spacing w:before="120" w:after="120"/>
        <w:ind w:left="714" w:hanging="357"/>
        <w:jc w:val="center"/>
        <w:rPr>
          <w:b/>
          <w:color w:val="000000"/>
          <w:sz w:val="24"/>
          <w:szCs w:val="24"/>
        </w:rPr>
      </w:pPr>
      <w:r>
        <w:rPr>
          <w:b/>
          <w:color w:val="000000"/>
          <w:sz w:val="24"/>
          <w:szCs w:val="24"/>
        </w:rPr>
        <w:t>Інші умови</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 xml:space="preserve"> В разі визнання не чинними деяких положень цієї Угоди, таке визнання не впливає на дійсність решти Угоди.</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 xml:space="preserve"> Програма захищена Законом України "Про авторське право і суміжні права". Неправомірне розповсюдження Прогр</w:t>
      </w:r>
      <w:r>
        <w:rPr>
          <w:color w:val="000000"/>
          <w:sz w:val="24"/>
          <w:szCs w:val="24"/>
        </w:rPr>
        <w:t>ами може привести до цивільної та карної відповідальності.</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 xml:space="preserve"> Ця Угода скасовує всі попередні домовленості щодо прав на використання Програми Ліцензіатом.</w:t>
      </w:r>
    </w:p>
    <w:p w:rsidR="007E15C4" w:rsidRDefault="009C7AD6">
      <w:pPr>
        <w:numPr>
          <w:ilvl w:val="1"/>
          <w:numId w:val="1"/>
        </w:numPr>
        <w:pBdr>
          <w:top w:val="nil"/>
          <w:left w:val="nil"/>
          <w:bottom w:val="nil"/>
          <w:right w:val="nil"/>
          <w:between w:val="nil"/>
        </w:pBdr>
        <w:ind w:left="0" w:firstLine="360"/>
        <w:jc w:val="both"/>
        <w:rPr>
          <w:color w:val="000000"/>
          <w:sz w:val="24"/>
          <w:szCs w:val="24"/>
        </w:rPr>
      </w:pPr>
      <w:r>
        <w:rPr>
          <w:color w:val="000000"/>
          <w:sz w:val="24"/>
          <w:szCs w:val="24"/>
        </w:rPr>
        <w:t xml:space="preserve"> Всі інші права, що їх не вказано в явному вигляді в цій Угоді, зберігаються за Ліцензіаром.</w:t>
      </w:r>
    </w:p>
    <w:p w:rsidR="007E15C4" w:rsidRDefault="009C7AD6">
      <w:pPr>
        <w:keepNext/>
        <w:numPr>
          <w:ilvl w:val="0"/>
          <w:numId w:val="1"/>
        </w:numPr>
        <w:pBdr>
          <w:top w:val="nil"/>
          <w:left w:val="nil"/>
          <w:bottom w:val="nil"/>
          <w:right w:val="nil"/>
          <w:between w:val="nil"/>
        </w:pBdr>
        <w:spacing w:before="120" w:after="120"/>
        <w:ind w:left="714" w:hanging="357"/>
        <w:jc w:val="center"/>
        <w:rPr>
          <w:b/>
          <w:color w:val="000000"/>
          <w:sz w:val="24"/>
          <w:szCs w:val="24"/>
        </w:rPr>
      </w:pPr>
      <w:r>
        <w:rPr>
          <w:b/>
          <w:color w:val="000000"/>
          <w:sz w:val="24"/>
          <w:szCs w:val="24"/>
        </w:rPr>
        <w:t xml:space="preserve">Реквізити </w:t>
      </w:r>
      <w:r>
        <w:rPr>
          <w:b/>
          <w:color w:val="000000"/>
          <w:sz w:val="24"/>
          <w:szCs w:val="24"/>
        </w:rPr>
        <w:t>та підписи сторін</w:t>
      </w:r>
    </w:p>
    <w:p w:rsidR="007E15C4" w:rsidRDefault="007E15C4">
      <w:pPr>
        <w:pBdr>
          <w:top w:val="nil"/>
          <w:left w:val="nil"/>
          <w:bottom w:val="nil"/>
          <w:right w:val="nil"/>
          <w:between w:val="nil"/>
        </w:pBdr>
        <w:rPr>
          <w:color w:val="000000"/>
          <w:sz w:val="24"/>
          <w:szCs w:val="24"/>
        </w:rPr>
      </w:pPr>
    </w:p>
    <w:tbl>
      <w:tblPr>
        <w:tblStyle w:val="a5"/>
        <w:tblW w:w="9317" w:type="dxa"/>
        <w:jc w:val="center"/>
        <w:tblInd w:w="0" w:type="dxa"/>
        <w:tblLayout w:type="fixed"/>
        <w:tblLook w:val="0000" w:firstRow="0" w:lastRow="0" w:firstColumn="0" w:lastColumn="0" w:noHBand="0" w:noVBand="0"/>
      </w:tblPr>
      <w:tblGrid>
        <w:gridCol w:w="4448"/>
        <w:gridCol w:w="299"/>
        <w:gridCol w:w="4570"/>
      </w:tblGrid>
      <w:tr w:rsidR="007E15C4">
        <w:trPr>
          <w:jc w:val="center"/>
        </w:trPr>
        <w:tc>
          <w:tcPr>
            <w:tcW w:w="4448" w:type="dxa"/>
            <w:vAlign w:val="center"/>
          </w:tcPr>
          <w:p w:rsidR="007E15C4" w:rsidRDefault="009C7AD6">
            <w:pPr>
              <w:pBdr>
                <w:top w:val="nil"/>
                <w:left w:val="nil"/>
                <w:bottom w:val="nil"/>
                <w:right w:val="nil"/>
                <w:between w:val="nil"/>
              </w:pBdr>
              <w:jc w:val="center"/>
              <w:rPr>
                <w:color w:val="000000"/>
                <w:sz w:val="24"/>
                <w:szCs w:val="24"/>
              </w:rPr>
            </w:pPr>
            <w:r>
              <w:rPr>
                <w:b/>
                <w:color w:val="000000"/>
                <w:sz w:val="24"/>
                <w:szCs w:val="24"/>
              </w:rPr>
              <w:t>Ліцензіат:</w:t>
            </w:r>
          </w:p>
        </w:tc>
        <w:tc>
          <w:tcPr>
            <w:tcW w:w="299" w:type="dxa"/>
            <w:vAlign w:val="center"/>
          </w:tcPr>
          <w:p w:rsidR="007E15C4" w:rsidRDefault="009C7AD6">
            <w:pPr>
              <w:pBdr>
                <w:top w:val="nil"/>
                <w:left w:val="nil"/>
                <w:bottom w:val="nil"/>
                <w:right w:val="nil"/>
                <w:between w:val="nil"/>
              </w:pBdr>
              <w:rPr>
                <w:color w:val="000000"/>
                <w:sz w:val="18"/>
                <w:szCs w:val="18"/>
              </w:rPr>
            </w:pPr>
            <w:r>
              <w:rPr>
                <w:color w:val="000000"/>
                <w:sz w:val="18"/>
                <w:szCs w:val="18"/>
              </w:rPr>
              <w:t> </w:t>
            </w:r>
          </w:p>
        </w:tc>
        <w:tc>
          <w:tcPr>
            <w:tcW w:w="4570" w:type="dxa"/>
            <w:vAlign w:val="center"/>
          </w:tcPr>
          <w:p w:rsidR="007E15C4" w:rsidRDefault="009C7AD6">
            <w:pPr>
              <w:pBdr>
                <w:top w:val="nil"/>
                <w:left w:val="nil"/>
                <w:bottom w:val="nil"/>
                <w:right w:val="nil"/>
                <w:between w:val="nil"/>
              </w:pBdr>
              <w:jc w:val="center"/>
              <w:rPr>
                <w:color w:val="000000"/>
                <w:sz w:val="24"/>
                <w:szCs w:val="24"/>
              </w:rPr>
            </w:pPr>
            <w:r>
              <w:rPr>
                <w:b/>
                <w:color w:val="000000"/>
                <w:sz w:val="24"/>
                <w:szCs w:val="24"/>
              </w:rPr>
              <w:t>Ліцензіар:</w:t>
            </w:r>
          </w:p>
        </w:tc>
      </w:tr>
      <w:tr w:rsidR="007E15C4">
        <w:trPr>
          <w:jc w:val="center"/>
        </w:trPr>
        <w:tc>
          <w:tcPr>
            <w:tcW w:w="4448" w:type="dxa"/>
            <w:vAlign w:val="center"/>
          </w:tcPr>
          <w:p w:rsidR="007E15C4" w:rsidRDefault="007E15C4">
            <w:pPr>
              <w:pBdr>
                <w:top w:val="nil"/>
                <w:left w:val="nil"/>
                <w:bottom w:val="nil"/>
                <w:right w:val="nil"/>
                <w:between w:val="nil"/>
              </w:pBdr>
              <w:jc w:val="center"/>
              <w:rPr>
                <w:color w:val="000000"/>
                <w:sz w:val="24"/>
                <w:szCs w:val="24"/>
              </w:rPr>
            </w:pPr>
          </w:p>
        </w:tc>
        <w:tc>
          <w:tcPr>
            <w:tcW w:w="299" w:type="dxa"/>
            <w:vAlign w:val="center"/>
          </w:tcPr>
          <w:p w:rsidR="007E15C4" w:rsidRDefault="009C7AD6">
            <w:pPr>
              <w:pBdr>
                <w:top w:val="nil"/>
                <w:left w:val="nil"/>
                <w:bottom w:val="nil"/>
                <w:right w:val="nil"/>
                <w:between w:val="nil"/>
              </w:pBdr>
              <w:rPr>
                <w:color w:val="000000"/>
                <w:sz w:val="18"/>
                <w:szCs w:val="18"/>
              </w:rPr>
            </w:pPr>
            <w:r>
              <w:rPr>
                <w:color w:val="000000"/>
                <w:sz w:val="18"/>
                <w:szCs w:val="18"/>
              </w:rPr>
              <w:t> </w:t>
            </w:r>
          </w:p>
        </w:tc>
        <w:tc>
          <w:tcPr>
            <w:tcW w:w="4570" w:type="dxa"/>
            <w:vAlign w:val="center"/>
          </w:tcPr>
          <w:p w:rsidR="007E15C4" w:rsidRDefault="007E15C4">
            <w:pPr>
              <w:pBdr>
                <w:top w:val="nil"/>
                <w:left w:val="nil"/>
                <w:bottom w:val="nil"/>
                <w:right w:val="nil"/>
                <w:between w:val="nil"/>
              </w:pBdr>
              <w:jc w:val="center"/>
              <w:rPr>
                <w:color w:val="000000"/>
                <w:sz w:val="24"/>
                <w:szCs w:val="24"/>
              </w:rPr>
            </w:pPr>
          </w:p>
        </w:tc>
      </w:tr>
      <w:tr w:rsidR="007E15C4">
        <w:trPr>
          <w:jc w:val="center"/>
        </w:trPr>
        <w:tc>
          <w:tcPr>
            <w:tcW w:w="4448" w:type="dxa"/>
            <w:vAlign w:val="center"/>
          </w:tcPr>
          <w:p w:rsidR="007E15C4" w:rsidRDefault="007E15C4">
            <w:pPr>
              <w:pBdr>
                <w:top w:val="nil"/>
                <w:left w:val="nil"/>
                <w:bottom w:val="nil"/>
                <w:right w:val="nil"/>
                <w:between w:val="nil"/>
              </w:pBdr>
              <w:spacing w:line="360" w:lineRule="auto"/>
              <w:rPr>
                <w:color w:val="000000"/>
                <w:sz w:val="24"/>
                <w:szCs w:val="24"/>
                <w:u w:val="single"/>
              </w:rPr>
            </w:pPr>
          </w:p>
          <w:p w:rsidR="00945EFB" w:rsidRPr="00945EFB" w:rsidRDefault="00945EFB" w:rsidP="00945EFB">
            <w:pPr>
              <w:pBdr>
                <w:top w:val="nil"/>
                <w:left w:val="nil"/>
                <w:bottom w:val="nil"/>
                <w:right w:val="nil"/>
                <w:between w:val="nil"/>
              </w:pBdr>
              <w:spacing w:line="360" w:lineRule="auto"/>
              <w:rPr>
                <w:color w:val="000000"/>
                <w:sz w:val="24"/>
                <w:szCs w:val="24"/>
                <w:u w:val="single"/>
              </w:rPr>
            </w:pPr>
            <w:r>
              <w:t xml:space="preserve"> </w:t>
            </w:r>
            <w:r w:rsidRPr="00945EFB">
              <w:rPr>
                <w:color w:val="000000"/>
                <w:sz w:val="24"/>
                <w:szCs w:val="24"/>
                <w:u w:val="single"/>
              </w:rPr>
              <w:t>ТОВ «Фонд Притули»</w:t>
            </w:r>
          </w:p>
          <w:p w:rsidR="00945EFB" w:rsidRPr="00945EFB" w:rsidRDefault="00945EFB" w:rsidP="00945EFB">
            <w:pPr>
              <w:pBdr>
                <w:top w:val="nil"/>
                <w:left w:val="nil"/>
                <w:bottom w:val="nil"/>
                <w:right w:val="nil"/>
                <w:between w:val="nil"/>
              </w:pBdr>
              <w:spacing w:line="360" w:lineRule="auto"/>
              <w:rPr>
                <w:color w:val="000000"/>
                <w:sz w:val="24"/>
                <w:szCs w:val="24"/>
                <w:u w:val="single"/>
              </w:rPr>
            </w:pPr>
            <w:r w:rsidRPr="00945EFB">
              <w:rPr>
                <w:color w:val="000000"/>
                <w:sz w:val="24"/>
                <w:szCs w:val="24"/>
                <w:u w:val="single"/>
              </w:rPr>
              <w:t>01001, м. Вінниця, вул. Перемоги , 1</w:t>
            </w:r>
          </w:p>
          <w:p w:rsidR="00945EFB" w:rsidRPr="00945EFB" w:rsidRDefault="00945EFB" w:rsidP="00945EFB">
            <w:pPr>
              <w:pBdr>
                <w:top w:val="nil"/>
                <w:left w:val="nil"/>
                <w:bottom w:val="nil"/>
                <w:right w:val="nil"/>
                <w:between w:val="nil"/>
              </w:pBdr>
              <w:spacing w:line="360" w:lineRule="auto"/>
              <w:rPr>
                <w:color w:val="000000"/>
                <w:sz w:val="24"/>
                <w:szCs w:val="24"/>
                <w:u w:val="single"/>
              </w:rPr>
            </w:pPr>
            <w:r w:rsidRPr="00945EFB">
              <w:rPr>
                <w:color w:val="000000"/>
                <w:sz w:val="24"/>
                <w:szCs w:val="24"/>
                <w:u w:val="single"/>
              </w:rPr>
              <w:t>р/р 26005284802331 в КРУ КБ</w:t>
            </w:r>
          </w:p>
          <w:p w:rsidR="00945EFB" w:rsidRPr="00945EFB" w:rsidRDefault="00945EFB" w:rsidP="00945EFB">
            <w:pPr>
              <w:pBdr>
                <w:top w:val="nil"/>
                <w:left w:val="nil"/>
                <w:bottom w:val="nil"/>
                <w:right w:val="nil"/>
                <w:between w:val="nil"/>
              </w:pBdr>
              <w:spacing w:line="360" w:lineRule="auto"/>
              <w:rPr>
                <w:color w:val="000000"/>
                <w:sz w:val="24"/>
                <w:szCs w:val="24"/>
                <w:u w:val="single"/>
              </w:rPr>
            </w:pPr>
            <w:proofErr w:type="spellStart"/>
            <w:r>
              <w:rPr>
                <w:color w:val="000000"/>
                <w:sz w:val="24"/>
                <w:szCs w:val="24"/>
                <w:u w:val="single"/>
              </w:rPr>
              <w:t>Райфайзенбанк</w:t>
            </w:r>
            <w:proofErr w:type="spellEnd"/>
            <w:r w:rsidRPr="00945EFB">
              <w:rPr>
                <w:color w:val="000000"/>
                <w:sz w:val="24"/>
                <w:szCs w:val="24"/>
                <w:u w:val="single"/>
              </w:rPr>
              <w:t>;, м. Києва МФО 321821</w:t>
            </w:r>
          </w:p>
          <w:p w:rsidR="00945EFB" w:rsidRPr="00945EFB" w:rsidRDefault="00945EFB" w:rsidP="00945EFB">
            <w:pPr>
              <w:pBdr>
                <w:top w:val="nil"/>
                <w:left w:val="nil"/>
                <w:bottom w:val="nil"/>
                <w:right w:val="nil"/>
                <w:between w:val="nil"/>
              </w:pBdr>
              <w:spacing w:line="360" w:lineRule="auto"/>
              <w:rPr>
                <w:color w:val="000000"/>
                <w:sz w:val="24"/>
                <w:szCs w:val="24"/>
                <w:u w:val="single"/>
              </w:rPr>
            </w:pPr>
            <w:r w:rsidRPr="00945EFB">
              <w:rPr>
                <w:color w:val="000000"/>
                <w:sz w:val="24"/>
                <w:szCs w:val="24"/>
                <w:u w:val="single"/>
              </w:rPr>
              <w:t>ЄДРПОУ 87654321</w:t>
            </w:r>
          </w:p>
          <w:p w:rsidR="00945EFB" w:rsidRPr="00945EFB" w:rsidRDefault="00945EFB" w:rsidP="00945EFB">
            <w:pPr>
              <w:pBdr>
                <w:top w:val="nil"/>
                <w:left w:val="nil"/>
                <w:bottom w:val="nil"/>
                <w:right w:val="nil"/>
                <w:between w:val="nil"/>
              </w:pBdr>
              <w:spacing w:line="360" w:lineRule="auto"/>
              <w:rPr>
                <w:color w:val="000000"/>
                <w:sz w:val="24"/>
                <w:szCs w:val="24"/>
                <w:u w:val="single"/>
              </w:rPr>
            </w:pPr>
          </w:p>
          <w:p w:rsidR="00945EFB" w:rsidRPr="00945EFB" w:rsidRDefault="00945EFB" w:rsidP="00945EFB">
            <w:pPr>
              <w:pBdr>
                <w:top w:val="nil"/>
                <w:left w:val="nil"/>
                <w:bottom w:val="nil"/>
                <w:right w:val="nil"/>
                <w:between w:val="nil"/>
              </w:pBdr>
              <w:spacing w:line="360" w:lineRule="auto"/>
              <w:rPr>
                <w:color w:val="000000"/>
                <w:sz w:val="24"/>
                <w:szCs w:val="24"/>
                <w:u w:val="single"/>
              </w:rPr>
            </w:pPr>
            <w:r w:rsidRPr="00945EFB">
              <w:rPr>
                <w:color w:val="000000"/>
                <w:sz w:val="24"/>
                <w:szCs w:val="24"/>
                <w:u w:val="single"/>
              </w:rPr>
              <w:t>Генеральний директор</w:t>
            </w:r>
          </w:p>
          <w:p w:rsidR="00945EFB" w:rsidRDefault="00945EFB" w:rsidP="00945EFB">
            <w:pPr>
              <w:pBdr>
                <w:top w:val="nil"/>
                <w:left w:val="nil"/>
                <w:bottom w:val="nil"/>
                <w:right w:val="nil"/>
                <w:between w:val="nil"/>
              </w:pBdr>
              <w:spacing w:line="360" w:lineRule="auto"/>
              <w:rPr>
                <w:color w:val="000000"/>
                <w:sz w:val="24"/>
                <w:szCs w:val="24"/>
                <w:u w:val="single"/>
              </w:rPr>
            </w:pPr>
            <w:r w:rsidRPr="00945EFB">
              <w:rPr>
                <w:color w:val="000000"/>
                <w:sz w:val="24"/>
                <w:szCs w:val="24"/>
                <w:u w:val="single"/>
              </w:rPr>
              <w:t>Притула С. В.</w:t>
            </w:r>
          </w:p>
          <w:p w:rsidR="007E15C4" w:rsidRDefault="009C7AD6">
            <w:pPr>
              <w:pBdr>
                <w:top w:val="nil"/>
                <w:left w:val="nil"/>
                <w:bottom w:val="nil"/>
                <w:right w:val="nil"/>
                <w:between w:val="nil"/>
              </w:pBdr>
              <w:spacing w:line="360" w:lineRule="auto"/>
              <w:rPr>
                <w:color w:val="000000"/>
                <w:sz w:val="24"/>
                <w:szCs w:val="24"/>
              </w:rPr>
            </w:pPr>
            <w:r>
              <w:rPr>
                <w:color w:val="000000"/>
                <w:sz w:val="24"/>
                <w:szCs w:val="24"/>
                <w:u w:val="single"/>
              </w:rPr>
              <w:t xml:space="preserve"> </w:t>
            </w:r>
          </w:p>
          <w:p w:rsidR="007E15C4" w:rsidRDefault="007E15C4">
            <w:pPr>
              <w:pBdr>
                <w:top w:val="nil"/>
                <w:left w:val="nil"/>
                <w:bottom w:val="nil"/>
                <w:right w:val="nil"/>
                <w:between w:val="nil"/>
              </w:pBdr>
              <w:rPr>
                <w:color w:val="000000"/>
                <w:sz w:val="24"/>
                <w:szCs w:val="24"/>
              </w:rPr>
            </w:pPr>
          </w:p>
        </w:tc>
        <w:tc>
          <w:tcPr>
            <w:tcW w:w="299" w:type="dxa"/>
            <w:vAlign w:val="center"/>
          </w:tcPr>
          <w:p w:rsidR="007E15C4" w:rsidRDefault="009C7AD6">
            <w:pPr>
              <w:pBdr>
                <w:top w:val="nil"/>
                <w:left w:val="nil"/>
                <w:bottom w:val="nil"/>
                <w:right w:val="nil"/>
                <w:between w:val="nil"/>
              </w:pBdr>
              <w:rPr>
                <w:color w:val="000000"/>
                <w:sz w:val="18"/>
                <w:szCs w:val="18"/>
              </w:rPr>
            </w:pPr>
            <w:r>
              <w:rPr>
                <w:color w:val="000000"/>
                <w:sz w:val="18"/>
                <w:szCs w:val="18"/>
              </w:rPr>
              <w:t> </w:t>
            </w:r>
          </w:p>
        </w:tc>
        <w:tc>
          <w:tcPr>
            <w:tcW w:w="4570" w:type="dxa"/>
            <w:vAlign w:val="center"/>
          </w:tcPr>
          <w:p w:rsidR="00945EFB" w:rsidRPr="00945EFB" w:rsidRDefault="00945EFB" w:rsidP="00945EFB">
            <w:pPr>
              <w:pBdr>
                <w:top w:val="nil"/>
                <w:left w:val="nil"/>
                <w:bottom w:val="nil"/>
                <w:right w:val="nil"/>
                <w:between w:val="nil"/>
              </w:pBdr>
              <w:spacing w:line="360" w:lineRule="auto"/>
              <w:rPr>
                <w:color w:val="000000"/>
                <w:sz w:val="24"/>
                <w:szCs w:val="24"/>
                <w:u w:val="single"/>
              </w:rPr>
            </w:pPr>
            <w:r w:rsidRPr="00945EFB">
              <w:rPr>
                <w:color w:val="000000"/>
                <w:sz w:val="24"/>
                <w:szCs w:val="24"/>
                <w:u w:val="single"/>
              </w:rPr>
              <w:t>ВИКОНАВЕЦЬ:</w:t>
            </w:r>
          </w:p>
          <w:p w:rsidR="00945EFB" w:rsidRPr="00945EFB" w:rsidRDefault="00945EFB" w:rsidP="00945EFB">
            <w:pPr>
              <w:pBdr>
                <w:top w:val="nil"/>
                <w:left w:val="nil"/>
                <w:bottom w:val="nil"/>
                <w:right w:val="nil"/>
                <w:between w:val="nil"/>
              </w:pBdr>
              <w:spacing w:line="360" w:lineRule="auto"/>
              <w:rPr>
                <w:color w:val="000000"/>
                <w:sz w:val="24"/>
                <w:szCs w:val="24"/>
                <w:u w:val="single"/>
              </w:rPr>
            </w:pPr>
            <w:r w:rsidRPr="00945EFB">
              <w:rPr>
                <w:color w:val="000000"/>
                <w:sz w:val="24"/>
                <w:szCs w:val="24"/>
                <w:u w:val="single"/>
              </w:rPr>
              <w:t>ТОВ «Рука допомоги»</w:t>
            </w:r>
          </w:p>
          <w:p w:rsidR="00945EFB" w:rsidRPr="00945EFB" w:rsidRDefault="00945EFB" w:rsidP="00945EFB">
            <w:pPr>
              <w:pBdr>
                <w:top w:val="nil"/>
                <w:left w:val="nil"/>
                <w:bottom w:val="nil"/>
                <w:right w:val="nil"/>
                <w:between w:val="nil"/>
              </w:pBdr>
              <w:spacing w:line="360" w:lineRule="auto"/>
              <w:rPr>
                <w:color w:val="000000"/>
                <w:sz w:val="24"/>
                <w:szCs w:val="24"/>
                <w:u w:val="single"/>
              </w:rPr>
            </w:pPr>
            <w:r w:rsidRPr="00945EFB">
              <w:rPr>
                <w:color w:val="000000"/>
                <w:sz w:val="24"/>
                <w:szCs w:val="24"/>
                <w:u w:val="single"/>
              </w:rPr>
              <w:t>03187, м. Збараж , вул. Данила Галицького</w:t>
            </w:r>
          </w:p>
          <w:p w:rsidR="00945EFB" w:rsidRPr="00945EFB" w:rsidRDefault="00945EFB" w:rsidP="00945EFB">
            <w:pPr>
              <w:pBdr>
                <w:top w:val="nil"/>
                <w:left w:val="nil"/>
                <w:bottom w:val="nil"/>
                <w:right w:val="nil"/>
                <w:between w:val="nil"/>
              </w:pBdr>
              <w:spacing w:line="360" w:lineRule="auto"/>
              <w:rPr>
                <w:color w:val="000000"/>
                <w:sz w:val="24"/>
                <w:szCs w:val="24"/>
                <w:u w:val="single"/>
              </w:rPr>
            </w:pPr>
            <w:r w:rsidRPr="00945EFB">
              <w:rPr>
                <w:color w:val="000000"/>
                <w:sz w:val="24"/>
                <w:szCs w:val="24"/>
                <w:u w:val="single"/>
              </w:rPr>
              <w:t xml:space="preserve">12 </w:t>
            </w:r>
            <w:proofErr w:type="spellStart"/>
            <w:r w:rsidRPr="00945EFB">
              <w:rPr>
                <w:color w:val="000000"/>
                <w:sz w:val="24"/>
                <w:szCs w:val="24"/>
                <w:u w:val="single"/>
              </w:rPr>
              <w:t>кв</w:t>
            </w:r>
            <w:proofErr w:type="spellEnd"/>
            <w:r w:rsidRPr="00945EFB">
              <w:rPr>
                <w:color w:val="000000"/>
                <w:sz w:val="24"/>
                <w:szCs w:val="24"/>
                <w:u w:val="single"/>
              </w:rPr>
              <w:t>. 2</w:t>
            </w:r>
          </w:p>
          <w:p w:rsidR="00945EFB" w:rsidRPr="00945EFB" w:rsidRDefault="00945EFB" w:rsidP="00945EFB">
            <w:pPr>
              <w:pBdr>
                <w:top w:val="nil"/>
                <w:left w:val="nil"/>
                <w:bottom w:val="nil"/>
                <w:right w:val="nil"/>
                <w:between w:val="nil"/>
              </w:pBdr>
              <w:spacing w:line="360" w:lineRule="auto"/>
              <w:rPr>
                <w:color w:val="000000"/>
                <w:sz w:val="24"/>
                <w:szCs w:val="24"/>
                <w:u w:val="single"/>
              </w:rPr>
            </w:pPr>
            <w:r w:rsidRPr="00945EFB">
              <w:rPr>
                <w:color w:val="000000"/>
                <w:sz w:val="24"/>
                <w:szCs w:val="24"/>
                <w:u w:val="single"/>
              </w:rPr>
              <w:t>p/p 26009012345 в Тернопільській Філії АБ</w:t>
            </w:r>
          </w:p>
          <w:p w:rsidR="00945EFB" w:rsidRPr="00945EFB" w:rsidRDefault="00945EFB" w:rsidP="00945EFB">
            <w:pPr>
              <w:pBdr>
                <w:top w:val="nil"/>
                <w:left w:val="nil"/>
                <w:bottom w:val="nil"/>
                <w:right w:val="nil"/>
                <w:between w:val="nil"/>
              </w:pBdr>
              <w:spacing w:line="360" w:lineRule="auto"/>
              <w:rPr>
                <w:color w:val="000000"/>
                <w:sz w:val="24"/>
                <w:szCs w:val="24"/>
                <w:u w:val="single"/>
              </w:rPr>
            </w:pPr>
            <w:r w:rsidRPr="00945EFB">
              <w:rPr>
                <w:color w:val="000000"/>
                <w:sz w:val="24"/>
                <w:szCs w:val="24"/>
                <w:u w:val="single"/>
              </w:rPr>
              <w:t>“Приватбанк” МФО 320941</w:t>
            </w:r>
          </w:p>
          <w:p w:rsidR="00945EFB" w:rsidRPr="00945EFB" w:rsidRDefault="00945EFB" w:rsidP="00945EFB">
            <w:pPr>
              <w:pBdr>
                <w:top w:val="nil"/>
                <w:left w:val="nil"/>
                <w:bottom w:val="nil"/>
                <w:right w:val="nil"/>
                <w:between w:val="nil"/>
              </w:pBdr>
              <w:spacing w:line="360" w:lineRule="auto"/>
              <w:rPr>
                <w:color w:val="000000"/>
                <w:sz w:val="24"/>
                <w:szCs w:val="24"/>
                <w:u w:val="single"/>
              </w:rPr>
            </w:pPr>
            <w:r w:rsidRPr="00945EFB">
              <w:rPr>
                <w:color w:val="000000"/>
                <w:sz w:val="24"/>
                <w:szCs w:val="24"/>
                <w:u w:val="single"/>
              </w:rPr>
              <w:t>ЄДРПОУ 12345678</w:t>
            </w:r>
          </w:p>
          <w:p w:rsidR="00945EFB" w:rsidRPr="00945EFB" w:rsidRDefault="00945EFB" w:rsidP="00945EFB">
            <w:pPr>
              <w:pBdr>
                <w:top w:val="nil"/>
                <w:left w:val="nil"/>
                <w:bottom w:val="nil"/>
                <w:right w:val="nil"/>
                <w:between w:val="nil"/>
              </w:pBdr>
              <w:spacing w:line="360" w:lineRule="auto"/>
              <w:rPr>
                <w:color w:val="000000"/>
                <w:sz w:val="24"/>
                <w:szCs w:val="24"/>
                <w:u w:val="single"/>
              </w:rPr>
            </w:pPr>
          </w:p>
          <w:p w:rsidR="00945EFB" w:rsidRPr="00945EFB" w:rsidRDefault="00945EFB" w:rsidP="00945EFB">
            <w:pPr>
              <w:pBdr>
                <w:top w:val="nil"/>
                <w:left w:val="nil"/>
                <w:bottom w:val="nil"/>
                <w:right w:val="nil"/>
                <w:between w:val="nil"/>
              </w:pBdr>
              <w:spacing w:line="360" w:lineRule="auto"/>
              <w:rPr>
                <w:color w:val="000000"/>
                <w:sz w:val="24"/>
                <w:szCs w:val="24"/>
                <w:u w:val="single"/>
              </w:rPr>
            </w:pPr>
            <w:r w:rsidRPr="00945EFB">
              <w:rPr>
                <w:color w:val="000000"/>
                <w:sz w:val="24"/>
                <w:szCs w:val="24"/>
                <w:u w:val="single"/>
              </w:rPr>
              <w:t>Генеральний Директор</w:t>
            </w:r>
          </w:p>
          <w:p w:rsidR="00945EFB" w:rsidRDefault="00945EFB" w:rsidP="00945EFB">
            <w:pPr>
              <w:pBdr>
                <w:top w:val="nil"/>
                <w:left w:val="nil"/>
                <w:bottom w:val="nil"/>
                <w:right w:val="nil"/>
                <w:between w:val="nil"/>
              </w:pBdr>
              <w:spacing w:line="360" w:lineRule="auto"/>
              <w:rPr>
                <w:color w:val="000000"/>
                <w:sz w:val="24"/>
                <w:szCs w:val="24"/>
              </w:rPr>
            </w:pPr>
            <w:proofErr w:type="spellStart"/>
            <w:r w:rsidRPr="00945EFB">
              <w:rPr>
                <w:color w:val="000000"/>
                <w:sz w:val="24"/>
                <w:szCs w:val="24"/>
                <w:u w:val="single"/>
              </w:rPr>
              <w:t>Педунов</w:t>
            </w:r>
            <w:proofErr w:type="spellEnd"/>
            <w:r w:rsidRPr="00945EFB">
              <w:rPr>
                <w:color w:val="000000"/>
                <w:sz w:val="24"/>
                <w:szCs w:val="24"/>
                <w:u w:val="single"/>
              </w:rPr>
              <w:t xml:space="preserve"> А. Є.</w:t>
            </w:r>
          </w:p>
          <w:p w:rsidR="007E15C4" w:rsidRDefault="007E15C4">
            <w:pPr>
              <w:pBdr>
                <w:top w:val="nil"/>
                <w:left w:val="nil"/>
                <w:bottom w:val="nil"/>
                <w:right w:val="nil"/>
                <w:between w:val="nil"/>
              </w:pBdr>
              <w:rPr>
                <w:color w:val="000000"/>
                <w:sz w:val="24"/>
                <w:szCs w:val="24"/>
              </w:rPr>
            </w:pPr>
          </w:p>
        </w:tc>
      </w:tr>
    </w:tbl>
    <w:p w:rsidR="007E15C4" w:rsidRDefault="007E15C4">
      <w:pPr>
        <w:pBdr>
          <w:top w:val="nil"/>
          <w:left w:val="nil"/>
          <w:bottom w:val="nil"/>
          <w:right w:val="nil"/>
          <w:between w:val="nil"/>
        </w:pBdr>
        <w:rPr>
          <w:color w:val="000000"/>
          <w:sz w:val="24"/>
          <w:szCs w:val="24"/>
        </w:rPr>
      </w:pPr>
      <w:bookmarkStart w:id="0" w:name="_GoBack"/>
      <w:bookmarkEnd w:id="0"/>
    </w:p>
    <w:sectPr w:rsidR="007E15C4">
      <w:footerReference w:type="even" r:id="rId7"/>
      <w:footerReference w:type="default" r:id="rId8"/>
      <w:pgSz w:w="11906" w:h="16838"/>
      <w:pgMar w:top="567" w:right="510" w:bottom="567"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AD6" w:rsidRDefault="009C7AD6">
      <w:r>
        <w:separator/>
      </w:r>
    </w:p>
  </w:endnote>
  <w:endnote w:type="continuationSeparator" w:id="0">
    <w:p w:rsidR="009C7AD6" w:rsidRDefault="009C7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5C4" w:rsidRDefault="009C7AD6">
    <w:pPr>
      <w:pBdr>
        <w:top w:val="nil"/>
        <w:left w:val="nil"/>
        <w:bottom w:val="nil"/>
        <w:right w:val="nil"/>
        <w:between w:val="nil"/>
      </w:pBdr>
      <w:tabs>
        <w:tab w:val="center" w:pos="4677"/>
        <w:tab w:val="right" w:pos="9355"/>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rsidR="007E15C4" w:rsidRDefault="007E15C4">
    <w:pPr>
      <w:pBdr>
        <w:top w:val="nil"/>
        <w:left w:val="nil"/>
        <w:bottom w:val="nil"/>
        <w:right w:val="nil"/>
        <w:between w:val="nil"/>
      </w:pBdr>
      <w:tabs>
        <w:tab w:val="center" w:pos="4677"/>
        <w:tab w:val="right" w:pos="9355"/>
      </w:tabs>
      <w:ind w:right="360"/>
      <w:rPr>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5C4" w:rsidRDefault="009C7AD6">
    <w:pPr>
      <w:pBdr>
        <w:top w:val="nil"/>
        <w:left w:val="nil"/>
        <w:bottom w:val="nil"/>
        <w:right w:val="nil"/>
        <w:between w:val="nil"/>
      </w:pBdr>
      <w:tabs>
        <w:tab w:val="center" w:pos="4677"/>
        <w:tab w:val="right" w:pos="9355"/>
      </w:tabs>
      <w:jc w:val="right"/>
      <w:rPr>
        <w:color w:val="000000"/>
        <w:sz w:val="24"/>
        <w:szCs w:val="24"/>
      </w:rPr>
    </w:pPr>
    <w:r>
      <w:rPr>
        <w:color w:val="000000"/>
        <w:sz w:val="24"/>
        <w:szCs w:val="24"/>
      </w:rPr>
      <w:fldChar w:fldCharType="begin"/>
    </w:r>
    <w:r>
      <w:rPr>
        <w:color w:val="000000"/>
        <w:sz w:val="24"/>
        <w:szCs w:val="24"/>
      </w:rPr>
      <w:instrText>PAGE</w:instrText>
    </w:r>
    <w:r w:rsidR="00945EFB">
      <w:rPr>
        <w:color w:val="000000"/>
        <w:sz w:val="24"/>
        <w:szCs w:val="24"/>
      </w:rPr>
      <w:fldChar w:fldCharType="separate"/>
    </w:r>
    <w:r w:rsidR="00B71BA9">
      <w:rPr>
        <w:noProof/>
        <w:color w:val="000000"/>
        <w:sz w:val="24"/>
        <w:szCs w:val="24"/>
      </w:rPr>
      <w:t>2</w:t>
    </w:r>
    <w:r>
      <w:rPr>
        <w:color w:val="000000"/>
        <w:sz w:val="24"/>
        <w:szCs w:val="24"/>
      </w:rPr>
      <w:fldChar w:fldCharType="end"/>
    </w:r>
  </w:p>
  <w:p w:rsidR="007E15C4" w:rsidRDefault="007E15C4">
    <w:pPr>
      <w:pBdr>
        <w:top w:val="nil"/>
        <w:left w:val="nil"/>
        <w:bottom w:val="nil"/>
        <w:right w:val="nil"/>
        <w:between w:val="nil"/>
      </w:pBdr>
      <w:tabs>
        <w:tab w:val="center" w:pos="4677"/>
        <w:tab w:val="right" w:pos="9355"/>
      </w:tabs>
      <w:ind w:right="360"/>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AD6" w:rsidRDefault="009C7AD6">
      <w:r>
        <w:separator/>
      </w:r>
    </w:p>
  </w:footnote>
  <w:footnote w:type="continuationSeparator" w:id="0">
    <w:p w:rsidR="009C7AD6" w:rsidRDefault="009C7A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E4A9A"/>
    <w:multiLevelType w:val="multilevel"/>
    <w:tmpl w:val="59C2EC3E"/>
    <w:lvl w:ilvl="0">
      <w:start w:val="1"/>
      <w:numFmt w:val="bullet"/>
      <w:lvlText w:val="●"/>
      <w:lvlJc w:val="left"/>
      <w:pPr>
        <w:ind w:left="726" w:hanging="363"/>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753843C7"/>
    <w:multiLevelType w:val="multilevel"/>
    <w:tmpl w:val="EA7E82DA"/>
    <w:lvl w:ilvl="0">
      <w:start w:val="1"/>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5C4"/>
    <w:rsid w:val="007E15C4"/>
    <w:rsid w:val="00945EFB"/>
    <w:rsid w:val="009C7AD6"/>
    <w:rsid w:val="00B71BA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A074A9-2532-4343-9630-1272E989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4935</Words>
  <Characters>2813</Characters>
  <Application>Microsoft Office Word</Application>
  <DocSecurity>0</DocSecurity>
  <Lines>23</Lines>
  <Paragraphs>15</Paragraphs>
  <ScaleCrop>false</ScaleCrop>
  <Company>SPecialiST RePack</Company>
  <LinksUpToDate>false</LinksUpToDate>
  <CharactersWithSpaces>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Учетная запись Майкрософт</cp:lastModifiedBy>
  <cp:revision>3</cp:revision>
  <dcterms:created xsi:type="dcterms:W3CDTF">2023-07-07T10:08:00Z</dcterms:created>
  <dcterms:modified xsi:type="dcterms:W3CDTF">2023-07-07T10:13:00Z</dcterms:modified>
</cp:coreProperties>
</file>