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B1F7" w14:textId="29FD2878" w:rsidR="00BD12D7" w:rsidRPr="009413AB" w:rsidRDefault="00883FF9" w:rsidP="00BD12D7">
      <w:pPr>
        <w:pStyle w:val="NormalWeb"/>
        <w:jc w:val="center"/>
        <w:rPr>
          <w:lang w:val="es-ES"/>
        </w:rPr>
      </w:pPr>
      <w:r>
        <w:rPr>
          <w:rFonts w:ascii="Times" w:hAnsi="Times"/>
          <w:sz w:val="56"/>
          <w:szCs w:val="56"/>
          <w:lang w:val="es-ES"/>
        </w:rPr>
        <w:t>Los Fertilizantes y La</w:t>
      </w:r>
      <w:r w:rsidR="00BD12D7" w:rsidRPr="009413AB">
        <w:rPr>
          <w:rFonts w:ascii="Times" w:hAnsi="Times"/>
          <w:sz w:val="56"/>
          <w:szCs w:val="56"/>
          <w:lang w:val="es-ES"/>
        </w:rPr>
        <w:t xml:space="preserve"> </w:t>
      </w:r>
      <w:r>
        <w:rPr>
          <w:rFonts w:ascii="Times" w:hAnsi="Times"/>
          <w:sz w:val="56"/>
          <w:szCs w:val="56"/>
          <w:lang w:val="es-ES"/>
        </w:rPr>
        <w:t>I</w:t>
      </w:r>
      <w:r w:rsidR="00BD12D7" w:rsidRPr="009413AB">
        <w:rPr>
          <w:rFonts w:ascii="Times" w:hAnsi="Times"/>
          <w:sz w:val="56"/>
          <w:szCs w:val="56"/>
          <w:lang w:val="es-ES"/>
        </w:rPr>
        <w:t>nflación: Efectos en Colombia</w:t>
      </w:r>
    </w:p>
    <w:p w14:paraId="33BEB194" w14:textId="6E6EF90F" w:rsidR="00BD12D7" w:rsidRPr="009413AB" w:rsidRDefault="00BD12D7" w:rsidP="00BD12D7">
      <w:pPr>
        <w:pStyle w:val="NormalWeb"/>
        <w:jc w:val="center"/>
        <w:rPr>
          <w:lang w:val="es-ES"/>
        </w:rPr>
      </w:pPr>
      <w:r w:rsidRPr="009413AB">
        <w:rPr>
          <w:rFonts w:ascii="Times" w:hAnsi="Times"/>
          <w:lang w:val="es-ES"/>
        </w:rPr>
        <w:t>VICTOR I. SANCHEZ</w:t>
      </w:r>
    </w:p>
    <w:p w14:paraId="35AF5834" w14:textId="30B5D687" w:rsidR="00BD12D7" w:rsidRPr="009413AB" w:rsidRDefault="00BD12D7" w:rsidP="00BD12D7">
      <w:pPr>
        <w:pStyle w:val="NormalWeb"/>
        <w:jc w:val="center"/>
        <w:rPr>
          <w:lang w:val="es-ES"/>
        </w:rPr>
      </w:pPr>
      <w:r w:rsidRPr="009413AB">
        <w:rPr>
          <w:rFonts w:ascii="Times" w:hAnsi="Times"/>
          <w:i/>
          <w:iCs/>
          <w:sz w:val="20"/>
          <w:szCs w:val="20"/>
          <w:lang w:val="es-ES"/>
        </w:rPr>
        <w:t>Universidad de los Andes</w:t>
      </w:r>
    </w:p>
    <w:p w14:paraId="5A8D5CB1" w14:textId="4444CE38" w:rsidR="00BD12D7" w:rsidRPr="009413AB" w:rsidRDefault="007B1D42" w:rsidP="007B1D42">
      <w:pPr>
        <w:pStyle w:val="NormalWeb"/>
        <w:ind w:left="720"/>
        <w:jc w:val="both"/>
        <w:rPr>
          <w:sz w:val="22"/>
          <w:szCs w:val="22"/>
          <w:lang w:val="es-ES"/>
        </w:rPr>
      </w:pPr>
      <w:r w:rsidRPr="009413AB">
        <w:rPr>
          <w:rFonts w:ascii="Times" w:hAnsi="Times"/>
          <w:sz w:val="22"/>
          <w:szCs w:val="22"/>
          <w:lang w:val="es-ES"/>
        </w:rPr>
        <w:t xml:space="preserve">¿De que manera afectan los choques en precios de insumos para la producción de alimentos la inflación? </w:t>
      </w:r>
      <w:r w:rsidR="00212D3C" w:rsidRPr="009413AB">
        <w:rPr>
          <w:rFonts w:ascii="Times" w:hAnsi="Times"/>
          <w:sz w:val="22"/>
          <w:szCs w:val="22"/>
          <w:lang w:val="es-ES"/>
        </w:rPr>
        <w:t xml:space="preserve">Además de la oferta y la demanda de los bienes agrícolas, en el marco de un mercado perfectamente competitivo, los </w:t>
      </w:r>
      <w:r w:rsidR="00235769" w:rsidRPr="009413AB">
        <w:rPr>
          <w:rFonts w:ascii="Times" w:hAnsi="Times"/>
          <w:sz w:val="22"/>
          <w:szCs w:val="22"/>
          <w:lang w:val="es-ES"/>
        </w:rPr>
        <w:t>costos de producción son determinantes en la formación de precios de los alimentos y sus variaciones</w:t>
      </w:r>
      <w:r w:rsidR="00212D3C" w:rsidRPr="009413AB">
        <w:rPr>
          <w:rFonts w:ascii="Times" w:hAnsi="Times"/>
          <w:sz w:val="22"/>
          <w:szCs w:val="22"/>
          <w:lang w:val="es-ES"/>
        </w:rPr>
        <w:t>. Así, cambios en insumos que hagan parte de la estructura de costos de producción, dependiendo de que tan intensivo sea su uso en un cultivo, tienen una relación directa en el precio final de estos bienes. En este trabajo analizo un insumo relevante en la producción; los fertilizantes</w:t>
      </w:r>
      <w:r w:rsidR="009413AB" w:rsidRPr="009413AB">
        <w:rPr>
          <w:rFonts w:ascii="Times" w:hAnsi="Times"/>
          <w:sz w:val="22"/>
          <w:szCs w:val="22"/>
          <w:lang w:val="es-ES"/>
        </w:rPr>
        <w:t xml:space="preserve"> y como sus precios, que para el mercado colombiano son exógenos, tienen un efecto significativo y directo en la inflación. Aprovec</w:t>
      </w:r>
      <w:r w:rsidR="009413AB">
        <w:rPr>
          <w:rFonts w:ascii="Times" w:hAnsi="Times"/>
          <w:sz w:val="22"/>
          <w:szCs w:val="22"/>
          <w:lang w:val="es-ES"/>
        </w:rPr>
        <w:t>ho</w:t>
      </w:r>
      <w:r w:rsidR="009413AB" w:rsidRPr="009413AB">
        <w:rPr>
          <w:rFonts w:ascii="Times" w:hAnsi="Times"/>
          <w:sz w:val="22"/>
          <w:szCs w:val="22"/>
          <w:lang w:val="es-ES"/>
        </w:rPr>
        <w:t xml:space="preserve"> la heterogeneidad existente en las regiones</w:t>
      </w:r>
      <w:r w:rsidR="009413AB">
        <w:rPr>
          <w:rFonts w:ascii="Times" w:hAnsi="Times"/>
          <w:sz w:val="22"/>
          <w:szCs w:val="22"/>
          <w:lang w:val="es-ES"/>
        </w:rPr>
        <w:t>, respecto a las características agrícolas de cada una, para evaluar como estos choques están llegando de forma diferenciada a cada región dependiendo su vocación agrícola. Así, encuentro que</w:t>
      </w:r>
      <w:r w:rsidR="00B53E23">
        <w:rPr>
          <w:rFonts w:ascii="Times" w:hAnsi="Times"/>
          <w:sz w:val="22"/>
          <w:szCs w:val="22"/>
          <w:lang w:val="es-ES"/>
        </w:rPr>
        <w:t xml:space="preserve">; </w:t>
      </w:r>
      <w:r w:rsidR="009413AB">
        <w:rPr>
          <w:rFonts w:ascii="Times" w:hAnsi="Times"/>
          <w:sz w:val="22"/>
          <w:szCs w:val="22"/>
          <w:lang w:val="es-ES"/>
        </w:rPr>
        <w:t xml:space="preserve">para aquellas regiones con </w:t>
      </w:r>
      <w:r w:rsidR="00FD7D19">
        <w:rPr>
          <w:rFonts w:ascii="Times" w:hAnsi="Times"/>
          <w:sz w:val="22"/>
          <w:szCs w:val="22"/>
          <w:lang w:val="es-ES"/>
        </w:rPr>
        <w:t xml:space="preserve">un alto </w:t>
      </w:r>
      <w:r w:rsidR="009413AB">
        <w:rPr>
          <w:rFonts w:ascii="Times" w:hAnsi="Times"/>
          <w:sz w:val="22"/>
          <w:szCs w:val="22"/>
          <w:lang w:val="es-ES"/>
        </w:rPr>
        <w:t xml:space="preserve">nivel de producción </w:t>
      </w:r>
      <w:r w:rsidR="00FD7D19">
        <w:rPr>
          <w:rFonts w:ascii="Times" w:hAnsi="Times"/>
          <w:sz w:val="22"/>
          <w:szCs w:val="22"/>
          <w:lang w:val="es-ES"/>
        </w:rPr>
        <w:t xml:space="preserve">de alimentos, el aumento en la inflación es menor que en aquellas regiones donde el nivel de producción de alimentos es menor.  </w:t>
      </w:r>
    </w:p>
    <w:p w14:paraId="572B23B8" w14:textId="3C315DEA" w:rsidR="00455667" w:rsidRDefault="00FD7D19" w:rsidP="00BD12D7">
      <w:pPr>
        <w:pStyle w:val="NormalWeb"/>
        <w:rPr>
          <w:rFonts w:ascii="Times" w:hAnsi="Times"/>
          <w:sz w:val="22"/>
          <w:szCs w:val="22"/>
        </w:rPr>
      </w:pPr>
      <w:r w:rsidRPr="00FD7D19">
        <w:rPr>
          <w:rFonts w:ascii="Times" w:hAnsi="Times"/>
          <w:i/>
          <w:iCs/>
          <w:sz w:val="22"/>
          <w:szCs w:val="22"/>
        </w:rPr>
        <w:t>Palabras Clave</w:t>
      </w:r>
      <w:r w:rsidR="00BD12D7" w:rsidRPr="00FD7D19">
        <w:rPr>
          <w:rFonts w:ascii="Times" w:hAnsi="Times"/>
          <w:sz w:val="22"/>
          <w:szCs w:val="22"/>
        </w:rPr>
        <w:t xml:space="preserve">: </w:t>
      </w:r>
      <w:r w:rsidRPr="00FD7D19">
        <w:rPr>
          <w:rFonts w:ascii="Times" w:hAnsi="Times"/>
          <w:sz w:val="22"/>
          <w:szCs w:val="22"/>
        </w:rPr>
        <w:t>Precios de ferti</w:t>
      </w:r>
      <w:r>
        <w:rPr>
          <w:rFonts w:ascii="Times" w:hAnsi="Times"/>
          <w:sz w:val="22"/>
          <w:szCs w:val="22"/>
        </w:rPr>
        <w:t>lizantes</w:t>
      </w:r>
      <w:r w:rsidR="00BD12D7" w:rsidRPr="00FD7D19">
        <w:rPr>
          <w:rFonts w:ascii="Times" w:hAnsi="Times"/>
          <w:sz w:val="22"/>
          <w:szCs w:val="22"/>
        </w:rPr>
        <w:t xml:space="preserve">, </w:t>
      </w:r>
      <w:r>
        <w:rPr>
          <w:rFonts w:ascii="Times" w:hAnsi="Times"/>
          <w:sz w:val="22"/>
          <w:szCs w:val="22"/>
        </w:rPr>
        <w:t xml:space="preserve">Inflación, </w:t>
      </w:r>
      <w:r w:rsidR="00BD12D7" w:rsidRPr="00FD7D19">
        <w:rPr>
          <w:rFonts w:ascii="Times" w:hAnsi="Times"/>
          <w:sz w:val="22"/>
          <w:szCs w:val="22"/>
        </w:rPr>
        <w:t xml:space="preserve"> </w:t>
      </w:r>
      <w:r>
        <w:rPr>
          <w:rFonts w:ascii="Times" w:hAnsi="Times"/>
          <w:sz w:val="22"/>
          <w:szCs w:val="22"/>
        </w:rPr>
        <w:t>Producción Agrícola</w:t>
      </w:r>
      <w:r w:rsidR="00BD12D7" w:rsidRPr="00FD7D19">
        <w:rPr>
          <w:rFonts w:ascii="Times" w:hAnsi="Times"/>
          <w:sz w:val="22"/>
          <w:szCs w:val="22"/>
        </w:rPr>
        <w:t xml:space="preserve">, </w:t>
      </w:r>
      <w:r>
        <w:rPr>
          <w:rFonts w:ascii="Times" w:hAnsi="Times"/>
          <w:sz w:val="22"/>
          <w:szCs w:val="22"/>
        </w:rPr>
        <w:t xml:space="preserve">Fertilizantes. </w:t>
      </w:r>
    </w:p>
    <w:p w14:paraId="55BD4C13" w14:textId="47EEA2D5" w:rsidR="00FD7D19" w:rsidRPr="00201B8C" w:rsidRDefault="00FD7D19" w:rsidP="00201B8C">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3D7EC3EB" w14:textId="18471E7C" w:rsidR="00FD7D19" w:rsidRDefault="0061218B" w:rsidP="007716E6">
      <w:pPr>
        <w:pStyle w:val="NormalWeb"/>
        <w:jc w:val="both"/>
        <w:rPr>
          <w:rFonts w:ascii="Times" w:hAnsi="Times"/>
        </w:rPr>
      </w:pPr>
      <w:r w:rsidRPr="0061218B">
        <w:rPr>
          <w:rFonts w:ascii="Times" w:hAnsi="Times"/>
        </w:rPr>
        <w:t xml:space="preserve">El inicio del año 2022 </w:t>
      </w:r>
      <w:r>
        <w:rPr>
          <w:rFonts w:ascii="Times" w:hAnsi="Times"/>
        </w:rPr>
        <w:t xml:space="preserve">marco </w:t>
      </w:r>
      <w:r w:rsidR="007716E6">
        <w:rPr>
          <w:rFonts w:ascii="Times" w:hAnsi="Times"/>
        </w:rPr>
        <w:t xml:space="preserve">a su vez </w:t>
      </w:r>
      <w:r>
        <w:rPr>
          <w:rFonts w:ascii="Times" w:hAnsi="Times"/>
        </w:rPr>
        <w:t>el inicio de un fenómeno inflacionario</w:t>
      </w:r>
      <w:r w:rsidR="007716E6">
        <w:rPr>
          <w:rFonts w:ascii="Times" w:hAnsi="Times"/>
        </w:rPr>
        <w:t xml:space="preserve"> mundial</w:t>
      </w:r>
      <w:r>
        <w:rPr>
          <w:rFonts w:ascii="Times" w:hAnsi="Times"/>
        </w:rPr>
        <w:t xml:space="preserve"> que golpeo con fuerza al hemisferio occidental y a Europa</w:t>
      </w:r>
      <w:r w:rsidR="007716E6">
        <w:rPr>
          <w:rFonts w:ascii="Times" w:hAnsi="Times"/>
        </w:rPr>
        <w:t>.</w:t>
      </w:r>
      <w:r>
        <w:rPr>
          <w:rFonts w:ascii="Times" w:hAnsi="Times"/>
        </w:rPr>
        <w:t xml:space="preserve"> </w:t>
      </w:r>
      <w:r w:rsidR="007716E6">
        <w:rPr>
          <w:rFonts w:ascii="Times" w:hAnsi="Times"/>
        </w:rPr>
        <w:t>E</w:t>
      </w:r>
      <w:r>
        <w:rPr>
          <w:rFonts w:ascii="Times" w:hAnsi="Times"/>
        </w:rPr>
        <w:t>n Colombia por primera vez en el siglo XXI la inflación acumulada alcanzo los dos dígitos</w:t>
      </w:r>
      <w:r w:rsidR="007716E6">
        <w:rPr>
          <w:rFonts w:ascii="Times" w:hAnsi="Times"/>
        </w:rPr>
        <w:t xml:space="preserve"> y a cierre del mes de Octubre su variación anual se ubico en 12,2%</w:t>
      </w:r>
      <w:r w:rsidR="007716E6">
        <w:rPr>
          <w:rStyle w:val="Refdenotaalpie"/>
          <w:rFonts w:ascii="Times" w:hAnsi="Times"/>
        </w:rPr>
        <w:footnoteReference w:id="1"/>
      </w:r>
      <w:r w:rsidR="007716E6">
        <w:rPr>
          <w:rFonts w:ascii="Times" w:hAnsi="Times"/>
        </w:rPr>
        <w:t xml:space="preserve">. Diferentes factores están asociados a este evento; las presiones en las cadenas logísticas que han disminuido la oferta de transporte marítimo y aumentos en precios de fletes internacionales, incrementos en precios de </w:t>
      </w:r>
      <w:r w:rsidR="00F91B6E">
        <w:rPr>
          <w:rFonts w:ascii="Times" w:hAnsi="Times"/>
        </w:rPr>
        <w:t xml:space="preserve">comoditties como el gas natural y el petróleo, los efectos de las políticas adoptadas para mitigar los efectos económicos del COVID-19, el inicio de la guerra entre Ucrania y Rusia, el incremento en los precios de los insumos, entre otros. </w:t>
      </w:r>
    </w:p>
    <w:p w14:paraId="0E7FC782" w14:textId="57158145" w:rsidR="00455667" w:rsidRDefault="00F91B6E" w:rsidP="007716E6">
      <w:pPr>
        <w:pStyle w:val="NormalWeb"/>
        <w:jc w:val="both"/>
        <w:rPr>
          <w:rFonts w:ascii="Times" w:hAnsi="Times"/>
        </w:rPr>
      </w:pPr>
      <w:r>
        <w:rPr>
          <w:rFonts w:ascii="Times" w:hAnsi="Times"/>
        </w:rPr>
        <w:t xml:space="preserve">En este trabajo me concentrare en los últimos dos factores, que a su vez, están relacionados entre si. </w:t>
      </w:r>
      <w:r w:rsidRPr="00F91B6E">
        <w:rPr>
          <w:rFonts w:ascii="Times" w:hAnsi="Times"/>
        </w:rPr>
        <w:t xml:space="preserve">El conflicto entre Rusia y Ucrania ha generado </w:t>
      </w:r>
      <w:r>
        <w:rPr>
          <w:rFonts w:ascii="Times" w:hAnsi="Times"/>
        </w:rPr>
        <w:t xml:space="preserve">un </w:t>
      </w:r>
      <w:r w:rsidRPr="00F91B6E">
        <w:rPr>
          <w:rFonts w:ascii="Times" w:hAnsi="Times"/>
        </w:rPr>
        <w:t>impacto importante en el mercado mundial de fertilizantes y, por consiguiente, un riesgo en la seguridad alimentaria (FAO, 1992). Rusia tiene una participación del 15,6</w:t>
      </w:r>
      <w:r>
        <w:rPr>
          <w:rFonts w:ascii="Times" w:hAnsi="Times"/>
        </w:rPr>
        <w:t xml:space="preserve"> </w:t>
      </w:r>
      <w:r w:rsidRPr="00F91B6E">
        <w:rPr>
          <w:rFonts w:ascii="Times" w:hAnsi="Times"/>
        </w:rPr>
        <w:t>% de las exportaciones globales de fertilizantes y es el principal exportador de urea del mundo (17</w:t>
      </w:r>
      <w:r>
        <w:rPr>
          <w:rFonts w:ascii="Times" w:hAnsi="Times"/>
        </w:rPr>
        <w:t xml:space="preserve"> </w:t>
      </w:r>
      <w:r w:rsidRPr="00F91B6E">
        <w:rPr>
          <w:rFonts w:ascii="Times" w:hAnsi="Times"/>
        </w:rPr>
        <w:t>%). En particular, en Colombia se importa el 75</w:t>
      </w:r>
      <w:r>
        <w:rPr>
          <w:rFonts w:ascii="Times" w:hAnsi="Times"/>
        </w:rPr>
        <w:t xml:space="preserve"> </w:t>
      </w:r>
      <w:r w:rsidRPr="00F91B6E">
        <w:rPr>
          <w:rFonts w:ascii="Times" w:hAnsi="Times"/>
        </w:rPr>
        <w:t>% de fertilizantes que se utilizan y el 42</w:t>
      </w:r>
      <w:r>
        <w:rPr>
          <w:rFonts w:ascii="Times" w:hAnsi="Times"/>
        </w:rPr>
        <w:t xml:space="preserve"> </w:t>
      </w:r>
      <w:r w:rsidRPr="00F91B6E">
        <w:rPr>
          <w:rFonts w:ascii="Times" w:hAnsi="Times"/>
        </w:rPr>
        <w:t>% de las importaciones de urea provienen de Rusia y Ucrania.</w:t>
      </w:r>
      <w:r w:rsidR="00241356">
        <w:rPr>
          <w:rFonts w:ascii="Times" w:hAnsi="Times"/>
        </w:rPr>
        <w:t xml:space="preserve"> La guerra afecto los precios de los fertilizantes mediante dos mecanismos: i)  Una menor oferta de </w:t>
      </w:r>
      <w:r w:rsidR="00241356">
        <w:rPr>
          <w:rFonts w:ascii="Times" w:hAnsi="Times"/>
        </w:rPr>
        <w:lastRenderedPageBreak/>
        <w:t>fertilizantes a nivel mundial</w:t>
      </w:r>
      <w:r w:rsidR="002D1282">
        <w:rPr>
          <w:rFonts w:ascii="Times" w:hAnsi="Times"/>
        </w:rPr>
        <w:t>, por las restricciones comerciales entre Rusia y el resto del mundo en particular occidental y ii) Un incremento en los costos del gas natural, el principal insumo para la producción de la mayoría de los fertilizantes nitrogenados, como la Urea.</w:t>
      </w:r>
    </w:p>
    <w:p w14:paraId="035CD4B1" w14:textId="7AAA468F" w:rsidR="00A71136" w:rsidRPr="00A71136" w:rsidRDefault="00A71136" w:rsidP="00A71136">
      <w:pPr>
        <w:pStyle w:val="NormalWeb"/>
        <w:jc w:val="center"/>
        <w:rPr>
          <w:rFonts w:ascii="Times" w:hAnsi="Times"/>
          <w:sz w:val="20"/>
          <w:szCs w:val="20"/>
        </w:rPr>
      </w:pPr>
      <w:r w:rsidRPr="00A71136">
        <w:rPr>
          <w:rFonts w:ascii="Times" w:hAnsi="Times"/>
          <w:sz w:val="20"/>
          <w:szCs w:val="20"/>
        </w:rPr>
        <w:t>Grafico 1. Precios de principales fertilizantes. U</w:t>
      </w:r>
      <w:r w:rsidR="0016551F">
        <w:rPr>
          <w:rFonts w:ascii="Times" w:hAnsi="Times"/>
          <w:sz w:val="20"/>
          <w:szCs w:val="20"/>
        </w:rPr>
        <w:t>REA</w:t>
      </w:r>
      <w:r w:rsidRPr="00A71136">
        <w:rPr>
          <w:rFonts w:ascii="Times" w:hAnsi="Times"/>
          <w:sz w:val="20"/>
          <w:szCs w:val="20"/>
        </w:rPr>
        <w:t>, DAP y KCL.</w:t>
      </w:r>
    </w:p>
    <w:p w14:paraId="3D04FDED" w14:textId="06272123" w:rsidR="00455667" w:rsidRDefault="00A71136" w:rsidP="00455667">
      <w:pPr>
        <w:pStyle w:val="NormalWeb"/>
        <w:jc w:val="center"/>
        <w:rPr>
          <w:rFonts w:ascii="Times" w:hAnsi="Times"/>
        </w:rPr>
      </w:pPr>
      <w:r>
        <w:rPr>
          <w:noProof/>
        </w:rPr>
        <w:drawing>
          <wp:inline distT="0" distB="0" distL="0" distR="0" wp14:anchorId="5AD25CBA" wp14:editId="7C06F5B3">
            <wp:extent cx="4162425" cy="2209800"/>
            <wp:effectExtent l="0" t="0" r="15875" b="12700"/>
            <wp:docPr id="1" name="Gráfico 1">
              <a:extLst xmlns:a="http://schemas.openxmlformats.org/drawingml/2006/main">
                <a:ext uri="{FF2B5EF4-FFF2-40B4-BE49-F238E27FC236}">
                  <a16:creationId xmlns:a16="http://schemas.microsoft.com/office/drawing/2014/main" id="{E476D7D7-298B-B940-A75D-12AD74B973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2F48B3" w14:textId="50E0BDA0" w:rsidR="00455667" w:rsidRPr="00455667" w:rsidRDefault="00C15428" w:rsidP="00455667">
      <w:pPr>
        <w:pStyle w:val="NormalWeb"/>
        <w:jc w:val="center"/>
        <w:rPr>
          <w:rFonts w:ascii="Times" w:hAnsi="Times"/>
          <w:sz w:val="20"/>
          <w:szCs w:val="20"/>
        </w:rPr>
      </w:pPr>
      <w:r>
        <w:rPr>
          <w:rFonts w:ascii="Times" w:hAnsi="Times"/>
          <w:sz w:val="20"/>
          <w:szCs w:val="20"/>
        </w:rPr>
        <w:t>Fuente</w:t>
      </w:r>
      <w:r w:rsidR="00455667" w:rsidRPr="00A71136">
        <w:rPr>
          <w:rFonts w:ascii="Times" w:hAnsi="Times"/>
          <w:sz w:val="20"/>
          <w:szCs w:val="20"/>
        </w:rPr>
        <w:t xml:space="preserve">. </w:t>
      </w:r>
      <w:r w:rsidR="00455667">
        <w:rPr>
          <w:rFonts w:ascii="Times" w:hAnsi="Times"/>
          <w:sz w:val="20"/>
          <w:szCs w:val="20"/>
        </w:rPr>
        <w:t>Elaboración propia a partir de datos de inde</w:t>
      </w:r>
      <w:r w:rsidR="00243DB3">
        <w:rPr>
          <w:rFonts w:ascii="Times" w:hAnsi="Times"/>
          <w:sz w:val="20"/>
          <w:szCs w:val="20"/>
        </w:rPr>
        <w:t>x</w:t>
      </w:r>
      <w:r w:rsidR="00455667">
        <w:rPr>
          <w:rFonts w:ascii="Times" w:hAnsi="Times"/>
          <w:sz w:val="20"/>
          <w:szCs w:val="20"/>
        </w:rPr>
        <w:t xml:space="preserve">mundi. World Bank. </w:t>
      </w:r>
    </w:p>
    <w:p w14:paraId="70DE48EE" w14:textId="77777777" w:rsidR="006D7AC8" w:rsidRDefault="00A71136" w:rsidP="007716E6">
      <w:pPr>
        <w:pStyle w:val="NormalWeb"/>
        <w:jc w:val="both"/>
        <w:rPr>
          <w:rFonts w:ascii="Times" w:hAnsi="Times"/>
        </w:rPr>
      </w:pPr>
      <w:r>
        <w:rPr>
          <w:rFonts w:ascii="Times" w:hAnsi="Times"/>
        </w:rPr>
        <w:t xml:space="preserve">Como lo muestra el </w:t>
      </w:r>
      <w:r w:rsidR="00883FF9">
        <w:rPr>
          <w:rFonts w:ascii="Times" w:hAnsi="Times"/>
        </w:rPr>
        <w:t>gráfico 1, los precios de los fertilizantes</w:t>
      </w:r>
      <w:r>
        <w:rPr>
          <w:rFonts w:ascii="Times" w:hAnsi="Times"/>
        </w:rPr>
        <w:t xml:space="preserve"> </w:t>
      </w:r>
      <w:r w:rsidR="00883FF9">
        <w:rPr>
          <w:rFonts w:ascii="Times" w:hAnsi="Times"/>
        </w:rPr>
        <w:t>de mayor consumo a nivel mundial han tenido un incremento significativo</w:t>
      </w:r>
      <w:r w:rsidR="0016551F">
        <w:rPr>
          <w:rFonts w:ascii="Times" w:hAnsi="Times"/>
        </w:rPr>
        <w:t>. Hasta Septiembre del 2022 el incremento era del 93% para el DAP, 177% para el KCL y 176% para la UREA</w:t>
      </w:r>
      <w:r w:rsidR="00346EC9">
        <w:rPr>
          <w:rFonts w:ascii="Times" w:hAnsi="Times"/>
        </w:rPr>
        <w:t>, respecto al precio cotizado en Diciembre de</w:t>
      </w:r>
      <w:r w:rsidR="00F00A00">
        <w:rPr>
          <w:rFonts w:ascii="Times" w:hAnsi="Times"/>
        </w:rPr>
        <w:t>l</w:t>
      </w:r>
      <w:r w:rsidR="00346EC9">
        <w:rPr>
          <w:rFonts w:ascii="Times" w:hAnsi="Times"/>
        </w:rPr>
        <w:t xml:space="preserve"> 2020</w:t>
      </w:r>
      <w:r w:rsidR="00F00A00">
        <w:rPr>
          <w:rFonts w:ascii="Times" w:hAnsi="Times"/>
        </w:rPr>
        <w:t>. Similarmente, los precios de los alimentos</w:t>
      </w:r>
      <w:r w:rsidR="006D7AC8">
        <w:rPr>
          <w:rFonts w:ascii="Times" w:hAnsi="Times"/>
        </w:rPr>
        <w:t xml:space="preserve"> </w:t>
      </w:r>
      <w:r w:rsidR="00F00A00">
        <w:rPr>
          <w:rFonts w:ascii="Times" w:hAnsi="Times"/>
        </w:rPr>
        <w:t>han tenido importantes incrementos especialmente durante el año 2022</w:t>
      </w:r>
      <w:r w:rsidR="00455667">
        <w:rPr>
          <w:rFonts w:ascii="Times" w:hAnsi="Times"/>
        </w:rPr>
        <w:t>, tanto a nivel nacional como internacional</w:t>
      </w:r>
      <w:r w:rsidR="00F00A00">
        <w:rPr>
          <w:rFonts w:ascii="Times" w:hAnsi="Times"/>
        </w:rPr>
        <w:t xml:space="preserve">, como ilustra el gráfico 2. </w:t>
      </w:r>
    </w:p>
    <w:p w14:paraId="78E06CF5" w14:textId="1FBF18C0" w:rsidR="00455667" w:rsidRPr="00A71136" w:rsidRDefault="00455667" w:rsidP="00455667">
      <w:pPr>
        <w:pStyle w:val="NormalWeb"/>
        <w:jc w:val="center"/>
        <w:rPr>
          <w:rFonts w:ascii="Times" w:hAnsi="Times"/>
          <w:sz w:val="20"/>
          <w:szCs w:val="20"/>
        </w:rPr>
      </w:pPr>
      <w:r w:rsidRPr="00A71136">
        <w:rPr>
          <w:rFonts w:ascii="Times" w:hAnsi="Times"/>
          <w:sz w:val="20"/>
          <w:szCs w:val="20"/>
        </w:rPr>
        <w:t xml:space="preserve">Grafico </w:t>
      </w:r>
      <w:r>
        <w:rPr>
          <w:rFonts w:ascii="Times" w:hAnsi="Times"/>
          <w:sz w:val="20"/>
          <w:szCs w:val="20"/>
        </w:rPr>
        <w:t>2</w:t>
      </w:r>
      <w:r w:rsidRPr="00A71136">
        <w:rPr>
          <w:rFonts w:ascii="Times" w:hAnsi="Times"/>
          <w:sz w:val="20"/>
          <w:szCs w:val="20"/>
        </w:rPr>
        <w:t xml:space="preserve">. </w:t>
      </w:r>
      <w:r>
        <w:rPr>
          <w:rFonts w:ascii="Times" w:hAnsi="Times"/>
          <w:sz w:val="20"/>
          <w:szCs w:val="20"/>
        </w:rPr>
        <w:t>Índice precios relativos de los alimentos</w:t>
      </w:r>
      <w:r w:rsidRPr="00A71136">
        <w:rPr>
          <w:rFonts w:ascii="Times" w:hAnsi="Times"/>
          <w:sz w:val="20"/>
          <w:szCs w:val="20"/>
        </w:rPr>
        <w:t>.</w:t>
      </w:r>
    </w:p>
    <w:p w14:paraId="2AB3C98A" w14:textId="3B57C3D3" w:rsidR="00CC2635" w:rsidRDefault="00455667" w:rsidP="00455667">
      <w:pPr>
        <w:pStyle w:val="NormalWeb"/>
        <w:jc w:val="center"/>
        <w:rPr>
          <w:rFonts w:ascii="Times" w:hAnsi="Times"/>
        </w:rPr>
      </w:pPr>
      <w:r w:rsidRPr="00455667">
        <w:rPr>
          <w:rFonts w:ascii="Times" w:hAnsi="Times"/>
          <w:noProof/>
        </w:rPr>
        <w:drawing>
          <wp:inline distT="0" distB="0" distL="0" distR="0" wp14:anchorId="2728A0CF" wp14:editId="20704AE6">
            <wp:extent cx="3065541" cy="22760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790" cy="2342324"/>
                    </a:xfrm>
                    <a:prstGeom prst="rect">
                      <a:avLst/>
                    </a:prstGeom>
                  </pic:spPr>
                </pic:pic>
              </a:graphicData>
            </a:graphic>
          </wp:inline>
        </w:drawing>
      </w:r>
      <w:r w:rsidR="004A3163">
        <w:rPr>
          <w:rFonts w:ascii="Times" w:hAnsi="Times"/>
        </w:rPr>
        <w:t xml:space="preserve"> </w:t>
      </w:r>
    </w:p>
    <w:p w14:paraId="1F01CCF1" w14:textId="77777777" w:rsidR="00901647" w:rsidRDefault="00C15428" w:rsidP="00901647">
      <w:pPr>
        <w:pStyle w:val="NormalWeb"/>
        <w:jc w:val="center"/>
        <w:rPr>
          <w:rFonts w:ascii="Times" w:hAnsi="Times"/>
          <w:sz w:val="20"/>
          <w:szCs w:val="20"/>
        </w:rPr>
      </w:pPr>
      <w:r>
        <w:rPr>
          <w:rFonts w:ascii="Times" w:hAnsi="Times"/>
          <w:sz w:val="20"/>
          <w:szCs w:val="20"/>
        </w:rPr>
        <w:t>Fuente</w:t>
      </w:r>
      <w:r w:rsidRPr="00A71136">
        <w:rPr>
          <w:rFonts w:ascii="Times" w:hAnsi="Times"/>
          <w:sz w:val="20"/>
          <w:szCs w:val="20"/>
        </w:rPr>
        <w:t xml:space="preserve">. </w:t>
      </w:r>
      <w:r>
        <w:rPr>
          <w:rFonts w:ascii="Times" w:hAnsi="Times"/>
          <w:sz w:val="20"/>
          <w:szCs w:val="20"/>
        </w:rPr>
        <w:t xml:space="preserve">BANREP </w:t>
      </w:r>
    </w:p>
    <w:p w14:paraId="7E33BC67" w14:textId="77AF66A5" w:rsidR="00224FEA" w:rsidRPr="00901647" w:rsidRDefault="006D7AC8" w:rsidP="00901647">
      <w:pPr>
        <w:pStyle w:val="NormalWeb"/>
        <w:jc w:val="both"/>
        <w:rPr>
          <w:rFonts w:ascii="Times" w:hAnsi="Times"/>
          <w:sz w:val="20"/>
          <w:szCs w:val="20"/>
        </w:rPr>
      </w:pPr>
      <w:r>
        <w:rPr>
          <w:rFonts w:ascii="Times" w:hAnsi="Times"/>
        </w:rPr>
        <w:lastRenderedPageBreak/>
        <w:t>Se ha observado que precios internacionales de otros comoditties tienen efectos importantes a nivel de país, y a su vez efectos diferenciados por regiones. (</w:t>
      </w:r>
      <w:proofErr w:type="spellStart"/>
      <w:r>
        <w:rPr>
          <w:rFonts w:ascii="Times" w:hAnsi="Times"/>
        </w:rPr>
        <w:t>Dube</w:t>
      </w:r>
      <w:proofErr w:type="spellEnd"/>
      <w:r>
        <w:rPr>
          <w:rFonts w:ascii="Times" w:hAnsi="Times"/>
        </w:rPr>
        <w:t xml:space="preserve"> &amp; Vargas, 2013). Aquí se quiere observar ese efecto diferenciado en el sector de alimentos, el </w:t>
      </w:r>
      <w:r w:rsidR="004A3163">
        <w:rPr>
          <w:rFonts w:ascii="Times" w:hAnsi="Times"/>
        </w:rPr>
        <w:t xml:space="preserve">cual ha sido </w:t>
      </w:r>
      <w:r w:rsidR="00F0587F">
        <w:rPr>
          <w:rFonts w:ascii="Times" w:hAnsi="Times"/>
        </w:rPr>
        <w:t xml:space="preserve">el principal motor de la inflación con incrementos superiores al 25% en la inflación anual de alimentos, lo anterior es un hecho relevante dado que este incremento </w:t>
      </w:r>
      <w:r>
        <w:rPr>
          <w:rFonts w:ascii="Times" w:hAnsi="Times"/>
        </w:rPr>
        <w:t>es</w:t>
      </w:r>
      <w:r w:rsidR="00F0587F">
        <w:rPr>
          <w:rFonts w:ascii="Times" w:hAnsi="Times"/>
        </w:rPr>
        <w:t xml:space="preserve"> particularmente fuerte para sectores mas pobres de la sociedad</w:t>
      </w:r>
      <w:r>
        <w:rPr>
          <w:rFonts w:ascii="Times" w:hAnsi="Times"/>
        </w:rPr>
        <w:t xml:space="preserve"> </w:t>
      </w:r>
      <w:r w:rsidR="00F0587F">
        <w:rPr>
          <w:rFonts w:ascii="Times" w:hAnsi="Times"/>
        </w:rPr>
        <w:t>en los cuales los rubros de alimentos tienen una mayor ponderación. Mientras que la inflación de la población de ingresos altos ha alcanzado cifras del 6,7%</w:t>
      </w:r>
      <w:r>
        <w:rPr>
          <w:rFonts w:ascii="Times" w:hAnsi="Times"/>
        </w:rPr>
        <w:t>,</w:t>
      </w:r>
      <w:r w:rsidR="00F0587F">
        <w:rPr>
          <w:rFonts w:ascii="Times" w:hAnsi="Times"/>
        </w:rPr>
        <w:t xml:space="preserve"> la de la población pobre ha alcanzado el 10,5%</w:t>
      </w:r>
      <w:r w:rsidR="007462D4">
        <w:rPr>
          <w:rFonts w:ascii="Times" w:hAnsi="Times"/>
        </w:rPr>
        <w:t>(</w:t>
      </w:r>
      <w:proofErr w:type="spellStart"/>
      <w:r w:rsidR="004A3163" w:rsidRPr="004A3163">
        <w:rPr>
          <w:rFonts w:ascii="Times" w:hAnsi="Times"/>
        </w:rPr>
        <w:t>Hofstetter</w:t>
      </w:r>
      <w:proofErr w:type="spellEnd"/>
      <w:r w:rsidR="007462D4">
        <w:rPr>
          <w:rFonts w:ascii="Times" w:hAnsi="Times"/>
        </w:rPr>
        <w:t xml:space="preserve"> y Reyna, 2022</w:t>
      </w:r>
      <w:r w:rsidR="004A3163">
        <w:rPr>
          <w:rFonts w:ascii="Times" w:hAnsi="Times"/>
        </w:rPr>
        <w:t>)</w:t>
      </w:r>
      <w:r w:rsidR="00CA7331">
        <w:rPr>
          <w:rFonts w:ascii="Times" w:hAnsi="Times"/>
        </w:rPr>
        <w:t>. Algunos estudios han</w:t>
      </w:r>
      <w:r w:rsidR="00224FEA">
        <w:rPr>
          <w:rFonts w:ascii="Times" w:hAnsi="Times"/>
        </w:rPr>
        <w:t xml:space="preserve"> mostrado la relación de los precios de los alimentos con eventos sociales como las protestas (</w:t>
      </w:r>
      <w:proofErr w:type="spellStart"/>
      <w:r w:rsidR="00224FEA">
        <w:rPr>
          <w:rFonts w:ascii="Times" w:hAnsi="Times"/>
        </w:rPr>
        <w:t>Gáfaro</w:t>
      </w:r>
      <w:proofErr w:type="spellEnd"/>
      <w:r w:rsidR="00224FEA">
        <w:rPr>
          <w:rFonts w:ascii="Times" w:hAnsi="Times"/>
        </w:rPr>
        <w:t xml:space="preserve"> et al., 2022). No obstante no existen aproximaciones empíricas recientes que exploren la relación de esta variable macroeconómica con el precio de los fertilizantes.</w:t>
      </w:r>
    </w:p>
    <w:p w14:paraId="053B799F" w14:textId="2260FF6D" w:rsidR="003A1B5A" w:rsidRDefault="006C53FB" w:rsidP="007716E6">
      <w:pPr>
        <w:pStyle w:val="NormalWeb"/>
        <w:jc w:val="both"/>
        <w:rPr>
          <w:rFonts w:ascii="Times" w:hAnsi="Times"/>
        </w:rPr>
      </w:pPr>
      <w:r>
        <w:rPr>
          <w:rFonts w:ascii="Times" w:hAnsi="Times"/>
        </w:rPr>
        <w:t xml:space="preserve">En este articulo, exploro principalmente el efecto que tienen los cambios en los precios de los fertilizantes sobre la inflación, y si este efecto en la inflación es diferente </w:t>
      </w:r>
      <w:r w:rsidR="00B5621A">
        <w:rPr>
          <w:rFonts w:ascii="Times" w:hAnsi="Times"/>
        </w:rPr>
        <w:t xml:space="preserve">a nivel de departamentos según el nivel de exposición que tienen al choque en precios, usando para tal fin como medida del nivel de exposición, la vocación agrícola de cada departamento. </w:t>
      </w:r>
    </w:p>
    <w:p w14:paraId="27446BD7" w14:textId="7BD25720" w:rsidR="00B5621A" w:rsidRPr="00201B8C" w:rsidRDefault="003A1B5A" w:rsidP="003A1B5A">
      <w:pPr>
        <w:pStyle w:val="NormalWeb"/>
        <w:numPr>
          <w:ilvl w:val="0"/>
          <w:numId w:val="10"/>
        </w:numPr>
        <w:jc w:val="center"/>
        <w:rPr>
          <w:rFonts w:ascii="Times" w:hAnsi="Times"/>
          <w:lang w:val="en-US"/>
        </w:rPr>
      </w:pPr>
      <w:r>
        <w:rPr>
          <w:rFonts w:ascii="Times" w:hAnsi="Times"/>
          <w:lang w:val="en-US"/>
        </w:rPr>
        <w:t>DATOS</w:t>
      </w:r>
    </w:p>
    <w:p w14:paraId="63E0C380" w14:textId="3454144E" w:rsidR="003A1B5A" w:rsidRDefault="003A1B5A" w:rsidP="003A1B5A">
      <w:pPr>
        <w:pStyle w:val="NormalWeb"/>
        <w:jc w:val="both"/>
        <w:rPr>
          <w:rFonts w:ascii="Times" w:hAnsi="Times"/>
        </w:rPr>
      </w:pPr>
      <w:r>
        <w:rPr>
          <w:rFonts w:ascii="Times" w:hAnsi="Times"/>
        </w:rPr>
        <w:t>Usando datos del</w:t>
      </w:r>
      <w:r w:rsidRPr="003A1B5A">
        <w:rPr>
          <w:rFonts w:ascii="Times" w:hAnsi="Times"/>
        </w:rPr>
        <w:t xml:space="preserve"> DANE, </w:t>
      </w:r>
      <w:r>
        <w:rPr>
          <w:rFonts w:ascii="Times" w:hAnsi="Times"/>
        </w:rPr>
        <w:t xml:space="preserve"> analizo información mensual del IPC anual </w:t>
      </w:r>
      <w:r>
        <w:rPr>
          <w:rStyle w:val="Refdenotaalpie"/>
          <w:rFonts w:ascii="Times" w:hAnsi="Times"/>
        </w:rPr>
        <w:footnoteReference w:id="2"/>
      </w:r>
      <w:r>
        <w:rPr>
          <w:rFonts w:ascii="Times" w:hAnsi="Times"/>
        </w:rPr>
        <w:t xml:space="preserve">  de las ciudades donde se realiza la medición de </w:t>
      </w:r>
      <w:r w:rsidR="006E4E53">
        <w:rPr>
          <w:rFonts w:ascii="Times" w:hAnsi="Times"/>
        </w:rPr>
        <w:t>este índice</w:t>
      </w:r>
      <w:r w:rsidR="0098338D">
        <w:rPr>
          <w:rFonts w:ascii="Times" w:hAnsi="Times"/>
        </w:rPr>
        <w:t>, cuento con información de IPC de 22 ciudades Capitales medidas con periodicidad mensual durante 46 meses desde Octubre de 2018 y Septiembre de 2022</w:t>
      </w:r>
      <w:r w:rsidR="006D7AC8">
        <w:rPr>
          <w:rFonts w:ascii="Times" w:hAnsi="Times"/>
        </w:rPr>
        <w:t xml:space="preserve">. </w:t>
      </w:r>
      <w:r w:rsidR="006E4E53">
        <w:rPr>
          <w:rFonts w:ascii="Times" w:hAnsi="Times"/>
        </w:rPr>
        <w:t>Así mismo, uso información disponible del precio en dólares por tonelada de los principales fertilizantes; UREA, DAP y KCL</w:t>
      </w:r>
      <w:r w:rsidR="0098338D">
        <w:rPr>
          <w:rFonts w:ascii="Times" w:hAnsi="Times"/>
        </w:rPr>
        <w:t xml:space="preserve"> durante los mismos periodos observados para el IPC</w:t>
      </w:r>
      <w:r w:rsidR="006E4E53">
        <w:rPr>
          <w:rFonts w:ascii="Times" w:hAnsi="Times"/>
        </w:rPr>
        <w:t xml:space="preserve">. </w:t>
      </w:r>
      <w:r w:rsidR="0098338D">
        <w:rPr>
          <w:rFonts w:ascii="Times" w:hAnsi="Times"/>
        </w:rPr>
        <w:t xml:space="preserve">Con la información de la </w:t>
      </w:r>
      <w:r w:rsidR="00335CFB">
        <w:rPr>
          <w:rFonts w:ascii="Times" w:hAnsi="Times"/>
        </w:rPr>
        <w:t>Encuesta Nacional Agropecuaria (</w:t>
      </w:r>
      <w:r w:rsidR="0098338D">
        <w:rPr>
          <w:rFonts w:ascii="Times" w:hAnsi="Times"/>
        </w:rPr>
        <w:t>ENA</w:t>
      </w:r>
      <w:r w:rsidR="00335CFB">
        <w:rPr>
          <w:rFonts w:ascii="Times" w:hAnsi="Times"/>
        </w:rPr>
        <w:t>)</w:t>
      </w:r>
      <w:r w:rsidR="0098338D">
        <w:rPr>
          <w:rFonts w:ascii="Times" w:hAnsi="Times"/>
        </w:rPr>
        <w:t xml:space="preserve"> de</w:t>
      </w:r>
      <w:r w:rsidR="00335CFB">
        <w:rPr>
          <w:rFonts w:ascii="Times" w:hAnsi="Times"/>
        </w:rPr>
        <w:t>l</w:t>
      </w:r>
      <w:r w:rsidR="0098338D">
        <w:rPr>
          <w:rFonts w:ascii="Times" w:hAnsi="Times"/>
        </w:rPr>
        <w:t xml:space="preserve"> año 2019 extraigo la información de producción agrícola de los departamentos para los cuales el DANE realiza la medición del IPC, de este manera </w:t>
      </w:r>
      <w:r w:rsidR="00335CFB">
        <w:rPr>
          <w:rFonts w:ascii="Times" w:hAnsi="Times"/>
        </w:rPr>
        <w:t xml:space="preserve">se construye la herramienta de ponderación del nivel de producción agrícola </w:t>
      </w:r>
      <w:r w:rsidR="006D7AC8">
        <w:rPr>
          <w:rFonts w:ascii="Times" w:hAnsi="Times"/>
        </w:rPr>
        <w:t xml:space="preserve">(NPA) </w:t>
      </w:r>
      <w:r w:rsidR="00335CFB">
        <w:rPr>
          <w:rFonts w:ascii="Times" w:hAnsi="Times"/>
        </w:rPr>
        <w:t xml:space="preserve">que será útil para evaluar efectos heterogéneos en departamentos. </w:t>
      </w:r>
    </w:p>
    <w:p w14:paraId="0924B3AB" w14:textId="42FAEA3E" w:rsidR="00335CFB" w:rsidRDefault="00335CFB" w:rsidP="00335CFB">
      <w:pPr>
        <w:pStyle w:val="NormalWeb"/>
        <w:numPr>
          <w:ilvl w:val="1"/>
          <w:numId w:val="10"/>
        </w:numPr>
        <w:jc w:val="both"/>
        <w:rPr>
          <w:rFonts w:ascii="Times" w:hAnsi="Times"/>
          <w:i/>
          <w:iCs/>
        </w:rPr>
      </w:pPr>
      <w:r w:rsidRPr="00335CFB">
        <w:rPr>
          <w:rFonts w:ascii="Times" w:hAnsi="Times"/>
          <w:i/>
          <w:iCs/>
        </w:rPr>
        <w:t>Variables</w:t>
      </w:r>
    </w:p>
    <w:p w14:paraId="284BBA84" w14:textId="231FFCEA" w:rsidR="002D49D7" w:rsidRDefault="00335CFB" w:rsidP="00901647">
      <w:pPr>
        <w:pStyle w:val="NormalWeb"/>
        <w:ind w:left="720"/>
        <w:jc w:val="both"/>
        <w:rPr>
          <w:rFonts w:ascii="Times" w:hAnsi="Times"/>
        </w:rPr>
      </w:pPr>
      <w:r>
        <w:rPr>
          <w:rFonts w:ascii="Times" w:hAnsi="Times"/>
        </w:rPr>
        <w:t>La base cuenta entonces con las siguientes variables.</w:t>
      </w:r>
      <w:r w:rsidR="00F40316">
        <w:rPr>
          <w:rFonts w:ascii="Times" w:hAnsi="Times"/>
        </w:rPr>
        <w:t xml:space="preserve">; </w:t>
      </w:r>
      <w:r w:rsidR="006C0E2A" w:rsidRPr="006C0E2A">
        <w:rPr>
          <w:rFonts w:ascii="Times" w:hAnsi="Times"/>
          <w:b/>
          <w:bCs/>
        </w:rPr>
        <w:t>i)</w:t>
      </w:r>
      <w:r w:rsidR="006C0E2A">
        <w:rPr>
          <w:rFonts w:ascii="Times" w:hAnsi="Times"/>
        </w:rPr>
        <w:t xml:space="preserve"> </w:t>
      </w:r>
      <w:r w:rsidRPr="00F40316">
        <w:rPr>
          <w:rFonts w:ascii="Times" w:hAnsi="Times"/>
          <w:b/>
          <w:bCs/>
        </w:rPr>
        <w:t>IPC acumulado</w:t>
      </w:r>
      <w:r w:rsidR="006C0E2A">
        <w:rPr>
          <w:rFonts w:ascii="Times" w:hAnsi="Times"/>
        </w:rPr>
        <w:t xml:space="preserve">, </w:t>
      </w:r>
      <w:r>
        <w:rPr>
          <w:rFonts w:ascii="Times" w:hAnsi="Times"/>
        </w:rPr>
        <w:t xml:space="preserve"> es el outcome de interés, </w:t>
      </w:r>
      <w:r w:rsidR="006C0E2A" w:rsidRPr="006C0E2A">
        <w:rPr>
          <w:rFonts w:ascii="Times" w:hAnsi="Times"/>
          <w:b/>
          <w:bCs/>
        </w:rPr>
        <w:t>ii)</w:t>
      </w:r>
      <w:r w:rsidR="006C0E2A">
        <w:rPr>
          <w:rFonts w:ascii="Times" w:hAnsi="Times"/>
        </w:rPr>
        <w:t xml:space="preserve"> </w:t>
      </w:r>
      <w:r w:rsidRPr="00F40316">
        <w:rPr>
          <w:rFonts w:ascii="Times" w:hAnsi="Times"/>
          <w:b/>
          <w:bCs/>
        </w:rPr>
        <w:t>Precio</w:t>
      </w:r>
      <w:r w:rsidR="00F40316" w:rsidRPr="00F40316">
        <w:rPr>
          <w:rFonts w:ascii="Times" w:hAnsi="Times"/>
          <w:b/>
          <w:bCs/>
        </w:rPr>
        <w:t xml:space="preserve"> Promedio de los fertilizantes</w:t>
      </w:r>
      <w:r w:rsidR="00F40316">
        <w:rPr>
          <w:rFonts w:ascii="Times" w:hAnsi="Times"/>
        </w:rPr>
        <w:t>, es el promedio del precio de  la UREA, KCL y DAP, para cada mes</w:t>
      </w:r>
      <w:r w:rsidR="006C0E2A">
        <w:rPr>
          <w:rFonts w:ascii="Times" w:hAnsi="Times"/>
        </w:rPr>
        <w:t xml:space="preserve">, </w:t>
      </w:r>
      <w:r w:rsidR="006C0E2A" w:rsidRPr="006C0E2A">
        <w:rPr>
          <w:rFonts w:ascii="Times" w:hAnsi="Times"/>
          <w:b/>
          <w:bCs/>
        </w:rPr>
        <w:t>iii)</w:t>
      </w:r>
      <w:r w:rsidR="006C0E2A">
        <w:rPr>
          <w:rFonts w:ascii="Times" w:hAnsi="Times"/>
        </w:rPr>
        <w:t xml:space="preserve"> </w:t>
      </w:r>
      <w:r w:rsidR="006C0E2A" w:rsidRPr="006C0E2A">
        <w:rPr>
          <w:rFonts w:ascii="Times" w:hAnsi="Times"/>
          <w:b/>
          <w:bCs/>
        </w:rPr>
        <w:t>Nivel de producción</w:t>
      </w:r>
      <w:r w:rsidR="006C0E2A">
        <w:rPr>
          <w:rFonts w:ascii="Times" w:hAnsi="Times"/>
          <w:b/>
          <w:bCs/>
        </w:rPr>
        <w:t xml:space="preserve">, </w:t>
      </w:r>
      <w:r w:rsidR="006C0E2A">
        <w:rPr>
          <w:rFonts w:ascii="Times" w:hAnsi="Times"/>
        </w:rPr>
        <w:t xml:space="preserve"> una medida del nivel de producción del departamento al que pertenece la ciudad donde se mide la inflación local, </w:t>
      </w:r>
      <w:r w:rsidR="006C0E2A" w:rsidRPr="006C0E2A">
        <w:rPr>
          <w:rFonts w:ascii="Times" w:hAnsi="Times"/>
          <w:b/>
          <w:bCs/>
        </w:rPr>
        <w:t>iv)</w:t>
      </w:r>
      <w:r w:rsidR="006C0E2A">
        <w:rPr>
          <w:rFonts w:ascii="Times" w:hAnsi="Times"/>
        </w:rPr>
        <w:t xml:space="preserve"> </w:t>
      </w:r>
      <w:r w:rsidR="006C0E2A" w:rsidRPr="006C0E2A">
        <w:rPr>
          <w:rFonts w:ascii="Times" w:hAnsi="Times"/>
          <w:b/>
          <w:bCs/>
        </w:rPr>
        <w:t>Controles</w:t>
      </w:r>
      <w:r w:rsidR="006C0E2A">
        <w:rPr>
          <w:rFonts w:ascii="Times" w:hAnsi="Times"/>
          <w:b/>
          <w:bCs/>
        </w:rPr>
        <w:t xml:space="preserve">: </w:t>
      </w:r>
      <w:r w:rsidR="006C0E2A">
        <w:rPr>
          <w:rFonts w:ascii="Times" w:hAnsi="Times"/>
        </w:rPr>
        <w:t>Se usan como controles el IPC nacional y la Tasa representativa del Mercado TRM.</w:t>
      </w:r>
    </w:p>
    <w:p w14:paraId="24665517" w14:textId="1B02C7C3" w:rsidR="006C0E2A" w:rsidRDefault="006C0E2A" w:rsidP="006C0E2A">
      <w:pPr>
        <w:pStyle w:val="NormalWeb"/>
        <w:numPr>
          <w:ilvl w:val="1"/>
          <w:numId w:val="10"/>
        </w:numPr>
        <w:jc w:val="both"/>
        <w:rPr>
          <w:rFonts w:ascii="Times" w:hAnsi="Times"/>
          <w:i/>
          <w:iCs/>
        </w:rPr>
      </w:pPr>
      <w:r>
        <w:rPr>
          <w:rFonts w:ascii="Times" w:hAnsi="Times"/>
          <w:i/>
          <w:iCs/>
        </w:rPr>
        <w:t>Construcción de variable para nivel de exposición</w:t>
      </w:r>
    </w:p>
    <w:p w14:paraId="5398FC50" w14:textId="16DDC30E" w:rsidR="00EB33BF" w:rsidRDefault="00307DA4" w:rsidP="00EB33BF">
      <w:pPr>
        <w:pStyle w:val="NormalWeb"/>
        <w:ind w:left="720"/>
        <w:jc w:val="both"/>
        <w:rPr>
          <w:rFonts w:ascii="Times" w:hAnsi="Times"/>
        </w:rPr>
      </w:pPr>
      <w:r>
        <w:rPr>
          <w:rFonts w:ascii="Times" w:hAnsi="Times"/>
        </w:rPr>
        <w:t xml:space="preserve">Una forma en la que busco evaluar los efectos heterogéneos es mediante </w:t>
      </w:r>
      <w:r w:rsidR="00BD4C28">
        <w:rPr>
          <w:rFonts w:ascii="Times" w:hAnsi="Times"/>
        </w:rPr>
        <w:t xml:space="preserve">el </w:t>
      </w:r>
      <w:r>
        <w:rPr>
          <w:rFonts w:ascii="Times" w:hAnsi="Times"/>
        </w:rPr>
        <w:t xml:space="preserve">mecanismo </w:t>
      </w:r>
      <w:r w:rsidR="002D49D7" w:rsidRPr="002D49D7">
        <w:rPr>
          <w:rFonts w:ascii="Times" w:hAnsi="Times"/>
          <w:i/>
          <w:iCs/>
        </w:rPr>
        <w:t>“</w:t>
      </w:r>
      <w:r w:rsidRPr="002D49D7">
        <w:rPr>
          <w:rFonts w:ascii="Times" w:hAnsi="Times"/>
          <w:i/>
          <w:iCs/>
        </w:rPr>
        <w:t>Shift Share</w:t>
      </w:r>
      <w:r w:rsidR="002D49D7" w:rsidRPr="002D49D7">
        <w:rPr>
          <w:rFonts w:ascii="Times" w:hAnsi="Times"/>
          <w:i/>
          <w:iCs/>
        </w:rPr>
        <w:t>”</w:t>
      </w:r>
      <w:r>
        <w:rPr>
          <w:rFonts w:ascii="Times" w:hAnsi="Times"/>
        </w:rPr>
        <w:t>,</w:t>
      </w:r>
      <w:r w:rsidR="00BD4C28">
        <w:rPr>
          <w:rFonts w:ascii="Times" w:hAnsi="Times"/>
        </w:rPr>
        <w:t xml:space="preserve"> donde el shift estará dado por el choque común que experimentan l</w:t>
      </w:r>
      <w:r w:rsidR="005758D7">
        <w:rPr>
          <w:rFonts w:ascii="Times" w:hAnsi="Times"/>
        </w:rPr>
        <w:t>as ciudades</w:t>
      </w:r>
      <w:r w:rsidR="002D49D7">
        <w:rPr>
          <w:rFonts w:ascii="Times" w:hAnsi="Times"/>
        </w:rPr>
        <w:t xml:space="preserve">, </w:t>
      </w:r>
      <w:r w:rsidR="005758D7">
        <w:rPr>
          <w:rFonts w:ascii="Times" w:hAnsi="Times"/>
        </w:rPr>
        <w:t xml:space="preserve">en este caso el incremento en los precios de los </w:t>
      </w:r>
      <w:r w:rsidR="005C2745">
        <w:rPr>
          <w:rFonts w:ascii="Times" w:hAnsi="Times"/>
        </w:rPr>
        <w:t>fertilizantes</w:t>
      </w:r>
      <w:r w:rsidR="005758D7">
        <w:rPr>
          <w:rFonts w:ascii="Times" w:hAnsi="Times"/>
        </w:rPr>
        <w:t xml:space="preserve">, y el “share” esta </w:t>
      </w:r>
      <w:r w:rsidR="005758D7">
        <w:rPr>
          <w:rFonts w:ascii="Times" w:hAnsi="Times"/>
        </w:rPr>
        <w:lastRenderedPageBreak/>
        <w:t>dado por la ponderación asignada a cada ciudad, esta ponderación es una medida del nivel de producción del departamento al que pertenece la ciudad. Uso el nivel de producción del departamento ya que las capitales son un buen indicador de la medida de inflación del departamento y a su vez la producción de cada departamento se c</w:t>
      </w:r>
      <w:r w:rsidR="002D49D7">
        <w:rPr>
          <w:rFonts w:ascii="Times" w:hAnsi="Times"/>
        </w:rPr>
        <w:t>oncentra</w:t>
      </w:r>
      <w:r w:rsidR="005758D7">
        <w:rPr>
          <w:rFonts w:ascii="Times" w:hAnsi="Times"/>
        </w:rPr>
        <w:t xml:space="preserve"> principalmente en las centrales mayoristas de cada departamento las cuales están ubicadas en las ciudades capitales</w:t>
      </w:r>
      <w:r w:rsidR="000A465F">
        <w:rPr>
          <w:rFonts w:ascii="Times" w:hAnsi="Times"/>
        </w:rPr>
        <w:t>, las que son a la vez las observaciones que se estudian.</w:t>
      </w:r>
      <w:r w:rsidR="00AD7A82">
        <w:rPr>
          <w:rFonts w:ascii="Times" w:hAnsi="Times"/>
        </w:rPr>
        <w:t xml:space="preserve"> La forma en la que se construye dicha ponderación se especifica en la tabla </w:t>
      </w:r>
      <w:r w:rsidR="002D49D7">
        <w:rPr>
          <w:rFonts w:ascii="Times" w:hAnsi="Times"/>
        </w:rPr>
        <w:t>3</w:t>
      </w:r>
      <w:r w:rsidR="00AD7A82">
        <w:rPr>
          <w:rFonts w:ascii="Times" w:hAnsi="Times"/>
        </w:rPr>
        <w:t xml:space="preserve"> de los anexos. </w:t>
      </w:r>
    </w:p>
    <w:p w14:paraId="67948136" w14:textId="702A80E4" w:rsidR="00EB33BF" w:rsidRDefault="00EB33BF" w:rsidP="001E0327">
      <w:pPr>
        <w:pStyle w:val="NormalWeb"/>
        <w:numPr>
          <w:ilvl w:val="0"/>
          <w:numId w:val="10"/>
        </w:numPr>
        <w:jc w:val="center"/>
        <w:rPr>
          <w:rFonts w:ascii="Times" w:hAnsi="Times"/>
          <w:lang w:val="en-US"/>
        </w:rPr>
      </w:pPr>
      <w:r>
        <w:rPr>
          <w:rFonts w:ascii="Times" w:hAnsi="Times"/>
          <w:lang w:val="en-US"/>
        </w:rPr>
        <w:t>METODOLOGIA</w:t>
      </w:r>
    </w:p>
    <w:p w14:paraId="43989B83" w14:textId="7FAF09B1" w:rsidR="001E0327" w:rsidRDefault="00EB33BF" w:rsidP="002C38A8">
      <w:pPr>
        <w:pStyle w:val="NormalWeb"/>
        <w:jc w:val="both"/>
        <w:rPr>
          <w:rFonts w:ascii="Times" w:hAnsi="Times"/>
        </w:rPr>
      </w:pPr>
      <w:r>
        <w:rPr>
          <w:rFonts w:ascii="Times" w:hAnsi="Times"/>
        </w:rPr>
        <w:t xml:space="preserve">La estrategia para responder la pregunta de investigación </w:t>
      </w:r>
      <w:r w:rsidR="00675939">
        <w:rPr>
          <w:rFonts w:ascii="Times" w:hAnsi="Times"/>
        </w:rPr>
        <w:t xml:space="preserve"> sigue </w:t>
      </w:r>
      <w:r>
        <w:rPr>
          <w:rFonts w:ascii="Times" w:hAnsi="Times"/>
        </w:rPr>
        <w:t xml:space="preserve">una metodología de </w:t>
      </w:r>
      <w:r w:rsidRPr="001E0327">
        <w:rPr>
          <w:rFonts w:ascii="Times" w:hAnsi="Times"/>
          <w:i/>
          <w:iCs/>
        </w:rPr>
        <w:t xml:space="preserve">diferencias </w:t>
      </w:r>
      <w:r w:rsidR="001E0327" w:rsidRPr="001E0327">
        <w:rPr>
          <w:rFonts w:ascii="Times" w:hAnsi="Times"/>
          <w:i/>
          <w:iCs/>
        </w:rPr>
        <w:t>en diferencias</w:t>
      </w:r>
      <w:r w:rsidR="001E0327">
        <w:rPr>
          <w:rFonts w:ascii="Times" w:hAnsi="Times"/>
        </w:rPr>
        <w:t xml:space="preserve"> </w:t>
      </w:r>
      <w:r w:rsidR="00675939">
        <w:rPr>
          <w:rFonts w:ascii="Times" w:hAnsi="Times"/>
        </w:rPr>
        <w:t xml:space="preserve">con nivel de exposición continuo, </w:t>
      </w:r>
      <w:r>
        <w:rPr>
          <w:rFonts w:ascii="Times" w:hAnsi="Times"/>
        </w:rPr>
        <w:t>donde se estima si cambios en los precios de los fertilizantes tiene efectos en la inflación</w:t>
      </w:r>
      <w:r w:rsidR="001E0327">
        <w:rPr>
          <w:rFonts w:ascii="Times" w:hAnsi="Times"/>
        </w:rPr>
        <w:t xml:space="preserve">, de igual manera mediante esta misma metodología estimo si esos cambios en precios afectan diferencialmente a los departamentos que producen mas alimentos. </w:t>
      </w:r>
      <w:r w:rsidR="00224FEA">
        <w:rPr>
          <w:rFonts w:ascii="Times" w:hAnsi="Times"/>
        </w:rPr>
        <w:t>U</w:t>
      </w:r>
      <w:r w:rsidR="001E0327">
        <w:rPr>
          <w:rFonts w:ascii="Times" w:hAnsi="Times"/>
        </w:rPr>
        <w:t xml:space="preserve">so la variación de los precios internacionales de los fertilizantes los cuales son exógenos en Colombia </w:t>
      </w:r>
      <w:r w:rsidR="00224FEA">
        <w:rPr>
          <w:rFonts w:ascii="Times" w:hAnsi="Times"/>
        </w:rPr>
        <w:t>dado que el país no es</w:t>
      </w:r>
      <w:r w:rsidR="001E0327">
        <w:rPr>
          <w:rFonts w:ascii="Times" w:hAnsi="Times"/>
        </w:rPr>
        <w:t xml:space="preserve"> productor de ninguno de estos fertilizantes y el consumo anual de estos represent</w:t>
      </w:r>
      <w:r w:rsidR="00224FEA">
        <w:rPr>
          <w:rFonts w:ascii="Times" w:hAnsi="Times"/>
        </w:rPr>
        <w:t>a</w:t>
      </w:r>
      <w:r w:rsidR="001E0327">
        <w:rPr>
          <w:rFonts w:ascii="Times" w:hAnsi="Times"/>
        </w:rPr>
        <w:t xml:space="preserve"> menos del 0,1% del consumo mundial de fertilizantes, en consecuencia las decisiones del país no tienen efecto en la determinación de precios de estos productos.</w:t>
      </w:r>
      <w:r w:rsidR="005C2745">
        <w:rPr>
          <w:rFonts w:ascii="Times" w:hAnsi="Times"/>
        </w:rPr>
        <w:t xml:space="preserve"> </w:t>
      </w:r>
      <w:r w:rsidR="00224FEA">
        <w:rPr>
          <w:rFonts w:ascii="Times" w:hAnsi="Times"/>
        </w:rPr>
        <w:t>Por ultimo</w:t>
      </w:r>
      <w:r w:rsidR="00BD75A3">
        <w:rPr>
          <w:rFonts w:ascii="Times" w:hAnsi="Times"/>
        </w:rPr>
        <w:t xml:space="preserve">, </w:t>
      </w:r>
      <w:r w:rsidR="00224FEA">
        <w:rPr>
          <w:rFonts w:ascii="Times" w:hAnsi="Times"/>
        </w:rPr>
        <w:t>uso</w:t>
      </w:r>
      <w:r w:rsidR="00BD75A3">
        <w:rPr>
          <w:rFonts w:ascii="Times" w:hAnsi="Times"/>
        </w:rPr>
        <w:t xml:space="preserve"> </w:t>
      </w:r>
      <w:r w:rsidR="005C2745">
        <w:rPr>
          <w:rFonts w:ascii="Times" w:hAnsi="Times"/>
        </w:rPr>
        <w:t xml:space="preserve">la interacción de los precios de los fertilizantes con  la ponderación construida y especificada en la sección anterior. </w:t>
      </w:r>
    </w:p>
    <w:p w14:paraId="256E0EA8" w14:textId="0E92E63B" w:rsidR="005C2745" w:rsidRDefault="005C2745" w:rsidP="002C38A8">
      <w:pPr>
        <w:pStyle w:val="NormalWeb"/>
        <w:jc w:val="both"/>
        <w:rPr>
          <w:rFonts w:ascii="Times" w:hAnsi="Times"/>
        </w:rPr>
      </w:pPr>
      <w:r>
        <w:rPr>
          <w:rFonts w:ascii="Times" w:hAnsi="Times"/>
        </w:rPr>
        <w:t xml:space="preserve">Con lo anterior se construye un panel de datos con observaciones a nivel de ciudades y a nivel de meses, en ese sentido la especificación del modelo esta dado por: </w:t>
      </w:r>
    </w:p>
    <w:p w14:paraId="1BA47B99" w14:textId="33B6C798" w:rsidR="005C2745" w:rsidRDefault="00D65E1C" w:rsidP="008E3421">
      <w:pPr>
        <w:pStyle w:val="NormalWeb"/>
        <w:ind w:left="720"/>
        <w:jc w:val="center"/>
        <w:rPr>
          <w:rFonts w:ascii="Times" w:hAnsi="Times"/>
        </w:rPr>
      </w:pPr>
      <m:oMath>
        <m:sSub>
          <m:sSubPr>
            <m:ctrlPr>
              <w:rPr>
                <w:rFonts w:ascii="Cambria Math" w:hAnsi="Cambria Math"/>
                <w:i/>
              </w:rPr>
            </m:ctrlPr>
          </m:sSubPr>
          <m:e>
            <m:r>
              <w:rPr>
                <w:rFonts w:ascii="Cambria Math" w:hAnsi="Cambria Math"/>
              </w:rPr>
              <m:t>π</m:t>
            </m:r>
          </m:e>
          <m:sub>
            <m:r>
              <w:rPr>
                <w:rFonts w:ascii="Cambria Math" w:hAnsi="Cambria Math"/>
              </w:rPr>
              <m:t>ct</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ct</m:t>
            </m:r>
          </m:sub>
        </m:sSub>
        <m:r>
          <w:rPr>
            <w:rFonts w:ascii="Cambria Math" w:hAnsi="Cambria Math"/>
          </w:rPr>
          <m:t xml:space="preserve">+ </m:t>
        </m:r>
        <w:bookmarkStart w:id="0" w:name="OLE_LINK2"/>
        <w:bookmarkStart w:id="1" w:name="OLE_LINK3"/>
        <m:r>
          <w:rPr>
            <w:rFonts w:ascii="Cambria Math" w:hAnsi="Cambria Math"/>
          </w:rPr>
          <m:t>λ</m:t>
        </m:r>
        <w:bookmarkEnd w:id="0"/>
        <w:bookmarkEnd w:id="1"/>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2019</m:t>
            </m:r>
          </m:sup>
        </m:sSubSup>
        <m:sSub>
          <m:sSubPr>
            <m:ctrlPr>
              <w:rPr>
                <w:rFonts w:ascii="Cambria Math" w:hAnsi="Cambria Math"/>
                <w:i/>
              </w:rPr>
            </m:ctrlPr>
          </m:sSubPr>
          <m:e>
            <m:r>
              <w:rPr>
                <w:rFonts w:ascii="Cambria Math" w:hAnsi="Cambria Math"/>
              </w:rPr>
              <m:t>F</m:t>
            </m:r>
          </m:e>
          <m:sub>
            <m:r>
              <w:rPr>
                <w:rFonts w:ascii="Cambria Math" w:hAnsi="Cambria Math"/>
              </w:rPr>
              <m:t>ct</m:t>
            </m:r>
          </m:sub>
        </m:sSub>
        <m:r>
          <w:rPr>
            <w:rFonts w:ascii="Cambria Math" w:hAnsi="Cambria Math"/>
          </w:rPr>
          <m:t>)+ δ</m:t>
        </m:r>
        <m:sSub>
          <m:sSubPr>
            <m:ctrlPr>
              <w:rPr>
                <w:rFonts w:ascii="Cambria Math" w:hAnsi="Cambria Math"/>
                <w:i/>
              </w:rPr>
            </m:ctrlPr>
          </m:sSubPr>
          <m:e>
            <m:r>
              <w:rPr>
                <w:rFonts w:ascii="Cambria Math" w:hAnsi="Cambria Math"/>
              </w:rPr>
              <m:t>X</m:t>
            </m:r>
          </m:e>
          <m:sub>
            <m:r>
              <w:rPr>
                <w:rFonts w:ascii="Cambria Math" w:hAnsi="Cambria Math"/>
              </w:rPr>
              <m:t>ct</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ct</m:t>
            </m:r>
          </m:sub>
        </m:sSub>
      </m:oMath>
      <w:r w:rsidR="008E3421">
        <w:rPr>
          <w:rFonts w:ascii="Times" w:hAnsi="Times"/>
        </w:rPr>
        <w:t xml:space="preserve">      </w:t>
      </w:r>
      <w:r w:rsidR="008E3421">
        <w:rPr>
          <w:rFonts w:ascii="Times" w:hAnsi="Times"/>
        </w:rPr>
        <w:tab/>
        <w:t>(1)</w:t>
      </w:r>
    </w:p>
    <w:p w14:paraId="25F9EB59" w14:textId="530A9A41" w:rsidR="001E0327" w:rsidRDefault="00695D68" w:rsidP="001E0327">
      <w:pPr>
        <w:pStyle w:val="NormalWeb"/>
        <w:ind w:left="720"/>
        <w:jc w:val="both"/>
        <w:rPr>
          <w:rFonts w:ascii="Times" w:hAnsi="Times"/>
        </w:rPr>
      </w:pPr>
      <w:r>
        <w:rPr>
          <w:rFonts w:ascii="Times" w:hAnsi="Times"/>
        </w:rPr>
        <w:t xml:space="preserve">Donde: </w:t>
      </w:r>
    </w:p>
    <w:p w14:paraId="58CC9477" w14:textId="5144FDD6" w:rsidR="00695D68" w:rsidRPr="00695D68" w:rsidRDefault="00D65E1C" w:rsidP="001E0327">
      <w:pPr>
        <w:pStyle w:val="NormalWeb"/>
        <w:ind w:left="720"/>
        <w:jc w:val="both"/>
        <w:rPr>
          <w:rFonts w:ascii="Times" w:hAnsi="Times"/>
        </w:rPr>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ct</m:t>
              </m:r>
            </m:sub>
          </m:sSub>
          <m:r>
            <w:rPr>
              <w:rFonts w:ascii="Cambria Math" w:hAnsi="Cambria Math"/>
            </w:rPr>
            <m:t>= IPC acumulado en la ciudad "c" y mes "t"</m:t>
          </m:r>
        </m:oMath>
      </m:oMathPara>
    </w:p>
    <w:p w14:paraId="7D5B9494" w14:textId="45D91D8A" w:rsidR="001E0327" w:rsidRPr="002F666C" w:rsidRDefault="00D65E1C" w:rsidP="001E0327">
      <w:pPr>
        <w:pStyle w:val="NormalWeb"/>
        <w:ind w:left="720"/>
        <w:jc w:val="both"/>
        <w:rPr>
          <w:rFonts w:ascii="Times" w:hAnsi="Times"/>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 xml:space="preserve">= Componentes de "c" que son fijos en "t" </m:t>
          </m:r>
        </m:oMath>
      </m:oMathPara>
    </w:p>
    <w:p w14:paraId="376759D1" w14:textId="71EB109F" w:rsidR="002F666C" w:rsidRPr="00695D68" w:rsidRDefault="00D65E1C" w:rsidP="002F666C">
      <w:pPr>
        <w:pStyle w:val="NormalWeb"/>
        <w:ind w:left="720"/>
        <w:jc w:val="both"/>
        <w:rPr>
          <w:rFonts w:ascii="Times" w:hAnsi="Times"/>
        </w:rPr>
      </w:pPr>
      <m:oMathPara>
        <m:oMathParaPr>
          <m:jc m:val="left"/>
        </m:oMathParaPr>
        <m:oMath>
          <m:sSub>
            <m:sSubPr>
              <m:ctrlPr>
                <w:rPr>
                  <w:rFonts w:ascii="Cambria Math" w:hAnsi="Cambria Math"/>
                  <w:i/>
                </w:rPr>
              </m:ctrlPr>
            </m:sSubPr>
            <m:e>
              <m:r>
                <w:rPr>
                  <w:rFonts w:ascii="Cambria Math" w:hAnsi="Cambria Math"/>
                </w:rPr>
                <m:t>γ</m:t>
              </m:r>
            </m:e>
            <m:sub>
              <m:r>
                <w:rPr>
                  <w:rFonts w:ascii="Cambria Math" w:hAnsi="Cambria Math"/>
                </w:rPr>
                <m:t>ct</m:t>
              </m:r>
            </m:sub>
          </m:sSub>
          <m:r>
            <w:rPr>
              <w:rFonts w:ascii="Cambria Math" w:hAnsi="Cambria Math"/>
            </w:rPr>
            <m:t>=</m:t>
          </m:r>
          <m:r>
            <m:rPr>
              <m:sty m:val="p"/>
            </m:rPr>
            <w:rPr>
              <w:rFonts w:ascii="Cambria Math" w:hAnsi="Cambria Math"/>
            </w:rPr>
            <m:t>Componentes con variación en el tiempo y que afectan a"c"</m:t>
          </m:r>
          <m:r>
            <w:rPr>
              <w:rFonts w:ascii="Cambria Math" w:hAnsi="Cambria Math"/>
            </w:rPr>
            <m:t xml:space="preserve"> </m:t>
          </m:r>
        </m:oMath>
      </m:oMathPara>
    </w:p>
    <w:p w14:paraId="3A06B50A" w14:textId="2F83DFDE" w:rsidR="00695D68" w:rsidRPr="002F666C" w:rsidRDefault="00D65E1C" w:rsidP="00695D68">
      <w:pPr>
        <w:pStyle w:val="NormalWeb"/>
        <w:ind w:left="720"/>
        <w:jc w:val="both"/>
        <w:rPr>
          <w:rFonts w:ascii="Times" w:hAnsi="Times"/>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c</m:t>
              </m:r>
            </m:sub>
            <m:sup>
              <m:r>
                <w:rPr>
                  <w:rFonts w:ascii="Cambria Math" w:hAnsi="Cambria Math"/>
                </w:rPr>
                <m:t>2019</m:t>
              </m:r>
            </m:sup>
          </m:sSubSup>
          <m:r>
            <w:rPr>
              <w:rFonts w:ascii="Cambria Math" w:hAnsi="Cambria Math"/>
            </w:rPr>
            <m:t>=</m:t>
          </m:r>
          <m:r>
            <m:rPr>
              <m:sty m:val="p"/>
            </m:rPr>
            <w:rPr>
              <w:rFonts w:ascii="Cambria Math" w:hAnsi="Cambria Math"/>
            </w:rPr>
            <m:t xml:space="preserve">Es la ponderación de cada ciudad </m:t>
          </m:r>
        </m:oMath>
      </m:oMathPara>
    </w:p>
    <w:p w14:paraId="59F55E75" w14:textId="67AA25D1" w:rsidR="002F666C" w:rsidRPr="008E3421" w:rsidRDefault="00D65E1C" w:rsidP="002F666C">
      <w:pPr>
        <w:pStyle w:val="NormalWeb"/>
        <w:ind w:left="720"/>
        <w:jc w:val="both"/>
        <w:rPr>
          <w:rFonts w:ascii="Times" w:hAnsi="Times"/>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ct</m:t>
              </m:r>
            </m:sub>
          </m:sSub>
          <m:r>
            <w:rPr>
              <w:rFonts w:ascii="Cambria Math" w:hAnsi="Cambria Math"/>
            </w:rPr>
            <m:t>=</m:t>
          </m:r>
          <m:r>
            <m:rPr>
              <m:sty m:val="p"/>
            </m:rPr>
            <w:rPr>
              <w:rFonts w:ascii="Cambria Math" w:hAnsi="Cambria Math"/>
            </w:rPr>
            <m:t>Precio internacional de los fertilizantes</m:t>
          </m:r>
        </m:oMath>
      </m:oMathPara>
    </w:p>
    <w:p w14:paraId="0579B86B" w14:textId="19B7B437" w:rsidR="008E3421" w:rsidRPr="008E3421" w:rsidRDefault="00D65E1C" w:rsidP="002F666C">
      <w:pPr>
        <w:pStyle w:val="NormalWeb"/>
        <w:ind w:left="720"/>
        <w:jc w:val="both"/>
        <w:rPr>
          <w:rFonts w:ascii="Times" w:hAnsi="Time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w:rPr>
              <w:rFonts w:ascii="Cambria Math" w:hAnsi="Cambria Math"/>
            </w:rPr>
            <m:t>=</m:t>
          </m:r>
          <m:r>
            <m:rPr>
              <m:sty m:val="p"/>
            </m:rPr>
            <w:rPr>
              <w:rFonts w:ascii="Cambria Math" w:hAnsi="Cambria Math"/>
            </w:rPr>
            <m:t>Son controles a nivel de municipio "c" y tiempo "t"</m:t>
          </m:r>
        </m:oMath>
      </m:oMathPara>
    </w:p>
    <w:p w14:paraId="2C9464AD" w14:textId="3A4ED18D" w:rsidR="008E3421" w:rsidRPr="002F666C" w:rsidRDefault="00D65E1C" w:rsidP="008E3421">
      <w:pPr>
        <w:pStyle w:val="NormalWeb"/>
        <w:ind w:left="720"/>
        <w:jc w:val="both"/>
        <w:rPr>
          <w:rFonts w:ascii="Times" w:hAnsi="Times"/>
        </w:rPr>
      </w:pPr>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ct</m:t>
              </m:r>
            </m:sub>
          </m:sSub>
          <m:r>
            <w:rPr>
              <w:rFonts w:ascii="Cambria Math" w:hAnsi="Cambria Math"/>
            </w:rPr>
            <m:t>=</m:t>
          </m:r>
          <m:r>
            <m:rPr>
              <m:sty m:val="p"/>
            </m:rPr>
            <w:rPr>
              <w:rFonts w:ascii="Cambria Math" w:hAnsi="Cambria Math"/>
            </w:rPr>
            <m:t>Componente aleatorio que tiene variación tanto en "c" como en "t</m:t>
          </m:r>
        </m:oMath>
      </m:oMathPara>
    </w:p>
    <w:p w14:paraId="37B52EFA" w14:textId="1C545921" w:rsidR="00665014" w:rsidRDefault="008E3421" w:rsidP="002C38A8">
      <w:pPr>
        <w:pStyle w:val="NormalWeb"/>
        <w:jc w:val="both"/>
        <w:rPr>
          <w:rFonts w:ascii="Times" w:hAnsi="Times"/>
        </w:rPr>
      </w:pPr>
      <w:r>
        <w:rPr>
          <w:rFonts w:ascii="Times" w:hAnsi="Times"/>
        </w:rPr>
        <w:t>En la ecuación (1)</w:t>
      </w:r>
      <w:r w:rsidRPr="00BD75A3">
        <w:rPr>
          <w:rFonts w:ascii="Times" w:hAnsi="Times"/>
          <w:b/>
          <w:bCs/>
        </w:rPr>
        <w:t xml:space="preserve"> </w:t>
      </w:r>
      <m:oMath>
        <m:r>
          <m:rPr>
            <m:sty m:val="bi"/>
          </m:rPr>
          <w:rPr>
            <w:rFonts w:ascii="Cambria Math" w:hAnsi="Cambria Math"/>
          </w:rPr>
          <m:t>"λ"</m:t>
        </m:r>
      </m:oMath>
      <w:r w:rsidR="002C38A8">
        <w:rPr>
          <w:rFonts w:ascii="Times" w:hAnsi="Times"/>
        </w:rPr>
        <w:t xml:space="preserve"> captura el efecto diferencial del precio de los fertilizantes sobre la inflación  en regiones donde existe mayor producción agrícola</w:t>
      </w:r>
      <w:r w:rsidR="00402E60">
        <w:rPr>
          <w:rFonts w:ascii="Times" w:hAnsi="Times"/>
        </w:rPr>
        <w:t>, por tanto será nuestro parámetro de interés.</w:t>
      </w:r>
    </w:p>
    <w:p w14:paraId="6AEBFC56" w14:textId="77777777" w:rsidR="00901647" w:rsidRDefault="00901647" w:rsidP="002C38A8">
      <w:pPr>
        <w:pStyle w:val="NormalWeb"/>
        <w:jc w:val="both"/>
        <w:rPr>
          <w:rFonts w:ascii="Times" w:hAnsi="Times"/>
        </w:rPr>
      </w:pPr>
    </w:p>
    <w:p w14:paraId="3DA465CD" w14:textId="6BA98902" w:rsidR="00665014" w:rsidRPr="001F1C7E" w:rsidRDefault="00665014" w:rsidP="001F1C7E">
      <w:pPr>
        <w:pStyle w:val="NormalWeb"/>
        <w:numPr>
          <w:ilvl w:val="0"/>
          <w:numId w:val="10"/>
        </w:numPr>
        <w:jc w:val="center"/>
        <w:rPr>
          <w:rFonts w:ascii="Times" w:hAnsi="Times"/>
          <w:lang w:val="en-US"/>
        </w:rPr>
      </w:pPr>
      <w:r>
        <w:rPr>
          <w:rFonts w:ascii="Times" w:hAnsi="Times"/>
          <w:lang w:val="en-US"/>
        </w:rPr>
        <w:lastRenderedPageBreak/>
        <w:t>RESULTADOS</w:t>
      </w:r>
    </w:p>
    <w:p w14:paraId="5B9095B4" w14:textId="5AEAA2E6" w:rsidR="00665014" w:rsidRDefault="00665014" w:rsidP="00665014">
      <w:pPr>
        <w:pStyle w:val="NormalWeb"/>
        <w:numPr>
          <w:ilvl w:val="1"/>
          <w:numId w:val="10"/>
        </w:numPr>
        <w:rPr>
          <w:rFonts w:ascii="Times" w:hAnsi="Times"/>
          <w:i/>
          <w:iCs/>
        </w:rPr>
      </w:pPr>
      <w:r w:rsidRPr="00665014">
        <w:rPr>
          <w:rFonts w:ascii="Times" w:hAnsi="Times"/>
          <w:i/>
          <w:iCs/>
        </w:rPr>
        <w:t>Precios de fertilizantes e inflaci</w:t>
      </w:r>
      <w:r>
        <w:rPr>
          <w:rFonts w:ascii="Times" w:hAnsi="Times"/>
          <w:i/>
          <w:iCs/>
        </w:rPr>
        <w:t>ón.</w:t>
      </w:r>
    </w:p>
    <w:p w14:paraId="7E5F56E7" w14:textId="7C57F6A6" w:rsidR="00FC22A8" w:rsidRDefault="00E64900" w:rsidP="004F56F2">
      <w:pPr>
        <w:pStyle w:val="NormalWeb"/>
        <w:ind w:left="720"/>
        <w:rPr>
          <w:rFonts w:ascii="Times" w:hAnsi="Times"/>
        </w:rPr>
      </w:pPr>
      <w:r>
        <w:rPr>
          <w:rFonts w:ascii="Times" w:hAnsi="Times"/>
        </w:rPr>
        <w:t xml:space="preserve">En esta subsección, uso </w:t>
      </w:r>
      <w:r w:rsidR="00FC22A8">
        <w:rPr>
          <w:rFonts w:ascii="Times" w:hAnsi="Times"/>
        </w:rPr>
        <w:t xml:space="preserve">el panel de datos para estimar un modelo de regresión con efectos fijos para observar la relación existente entre la variación de precio en el tiempo de los precios de los fertilizantes y la inflación. Como primera aproximación la Grafica 3 nos da una noción de la fuerte correlación existente entre ambas variables. </w:t>
      </w:r>
    </w:p>
    <w:p w14:paraId="559E31B1" w14:textId="653CC8DA" w:rsidR="004F56F2" w:rsidRPr="004F56F2" w:rsidRDefault="004F56F2" w:rsidP="004F56F2">
      <w:pPr>
        <w:pStyle w:val="NormalWeb"/>
        <w:jc w:val="center"/>
        <w:rPr>
          <w:rFonts w:ascii="Times" w:hAnsi="Times"/>
          <w:sz w:val="20"/>
          <w:szCs w:val="20"/>
        </w:rPr>
      </w:pPr>
      <w:r w:rsidRPr="00A71136">
        <w:rPr>
          <w:rFonts w:ascii="Times" w:hAnsi="Times"/>
          <w:sz w:val="20"/>
          <w:szCs w:val="20"/>
        </w:rPr>
        <w:t xml:space="preserve">Grafico </w:t>
      </w:r>
      <w:r>
        <w:rPr>
          <w:rFonts w:ascii="Times" w:hAnsi="Times"/>
          <w:sz w:val="20"/>
          <w:szCs w:val="20"/>
        </w:rPr>
        <w:t>3</w:t>
      </w:r>
      <w:r w:rsidRPr="00A71136">
        <w:rPr>
          <w:rFonts w:ascii="Times" w:hAnsi="Times"/>
          <w:sz w:val="20"/>
          <w:szCs w:val="20"/>
        </w:rPr>
        <w:t xml:space="preserve">. </w:t>
      </w:r>
      <w:r>
        <w:rPr>
          <w:rFonts w:ascii="Times" w:hAnsi="Times"/>
          <w:sz w:val="20"/>
          <w:szCs w:val="20"/>
        </w:rPr>
        <w:t>Precio de Fertilizantes e IPC en ciudades capitales</w:t>
      </w:r>
      <w:r w:rsidRPr="00A71136">
        <w:rPr>
          <w:rFonts w:ascii="Times" w:hAnsi="Times"/>
          <w:sz w:val="20"/>
          <w:szCs w:val="20"/>
        </w:rPr>
        <w:t>.</w:t>
      </w:r>
    </w:p>
    <w:p w14:paraId="7AA08517" w14:textId="2E9947CC" w:rsidR="004F56F2" w:rsidRDefault="00FC22A8" w:rsidP="004F56F2">
      <w:pPr>
        <w:pStyle w:val="NormalWeb"/>
        <w:ind w:left="720"/>
        <w:jc w:val="center"/>
        <w:rPr>
          <w:rFonts w:ascii="Times" w:hAnsi="Times"/>
        </w:rPr>
      </w:pPr>
      <w:r w:rsidRPr="00FC22A8">
        <w:rPr>
          <w:rFonts w:ascii="Times" w:hAnsi="Times"/>
          <w:noProof/>
        </w:rPr>
        <w:drawing>
          <wp:inline distT="0" distB="0" distL="0" distR="0" wp14:anchorId="6799D1A4" wp14:editId="44488EC0">
            <wp:extent cx="3533775" cy="25700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5214" cy="2578337"/>
                    </a:xfrm>
                    <a:prstGeom prst="rect">
                      <a:avLst/>
                    </a:prstGeom>
                  </pic:spPr>
                </pic:pic>
              </a:graphicData>
            </a:graphic>
          </wp:inline>
        </w:drawing>
      </w:r>
    </w:p>
    <w:p w14:paraId="4964341A" w14:textId="2FF27D5E" w:rsidR="004F56F2" w:rsidRPr="001F1C7E" w:rsidRDefault="004F56F2" w:rsidP="001F1C7E">
      <w:pPr>
        <w:pStyle w:val="NormalWeb"/>
        <w:jc w:val="center"/>
        <w:rPr>
          <w:rFonts w:ascii="Times" w:hAnsi="Times"/>
          <w:sz w:val="20"/>
          <w:szCs w:val="20"/>
        </w:rPr>
      </w:pPr>
      <w:r w:rsidRPr="00A71136">
        <w:rPr>
          <w:rFonts w:ascii="Times" w:hAnsi="Times"/>
          <w:sz w:val="20"/>
          <w:szCs w:val="20"/>
        </w:rPr>
        <w:t xml:space="preserve">Grafico </w:t>
      </w:r>
      <w:r w:rsidR="001F1C7E">
        <w:rPr>
          <w:rFonts w:ascii="Times" w:hAnsi="Times"/>
          <w:sz w:val="20"/>
          <w:szCs w:val="20"/>
        </w:rPr>
        <w:t>4</w:t>
      </w:r>
      <w:r w:rsidRPr="00A71136">
        <w:rPr>
          <w:rFonts w:ascii="Times" w:hAnsi="Times"/>
          <w:sz w:val="20"/>
          <w:szCs w:val="20"/>
        </w:rPr>
        <w:t xml:space="preserve">. </w:t>
      </w:r>
      <w:r>
        <w:rPr>
          <w:rFonts w:ascii="Times" w:hAnsi="Times"/>
          <w:sz w:val="20"/>
          <w:szCs w:val="20"/>
        </w:rPr>
        <w:t>Evolución en el tiempo de</w:t>
      </w:r>
      <w:r w:rsidR="001F1C7E">
        <w:rPr>
          <w:rFonts w:ascii="Times" w:hAnsi="Times"/>
          <w:sz w:val="20"/>
          <w:szCs w:val="20"/>
        </w:rPr>
        <w:t>l IPC y el precio de los fertilizantes</w:t>
      </w:r>
    </w:p>
    <w:p w14:paraId="52575130" w14:textId="046204F1" w:rsidR="004F56F2" w:rsidRDefault="004F56F2" w:rsidP="004F56F2">
      <w:pPr>
        <w:pStyle w:val="NormalWeb"/>
        <w:ind w:left="720"/>
        <w:jc w:val="center"/>
        <w:rPr>
          <w:rFonts w:ascii="Times" w:hAnsi="Times"/>
        </w:rPr>
      </w:pPr>
      <w:r w:rsidRPr="004F56F2">
        <w:rPr>
          <w:rFonts w:ascii="Times" w:hAnsi="Times"/>
          <w:noProof/>
        </w:rPr>
        <w:drawing>
          <wp:inline distT="0" distB="0" distL="0" distR="0" wp14:anchorId="3904FF58" wp14:editId="55869345">
            <wp:extent cx="2638425" cy="191885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1459" cy="1942880"/>
                    </a:xfrm>
                    <a:prstGeom prst="rect">
                      <a:avLst/>
                    </a:prstGeom>
                  </pic:spPr>
                </pic:pic>
              </a:graphicData>
            </a:graphic>
          </wp:inline>
        </w:drawing>
      </w:r>
      <w:r w:rsidR="001F1C7E" w:rsidRPr="001F1C7E">
        <w:rPr>
          <w:noProof/>
        </w:rPr>
        <w:t xml:space="preserve"> </w:t>
      </w:r>
      <w:r w:rsidR="001F1C7E" w:rsidRPr="001F1C7E">
        <w:rPr>
          <w:rFonts w:ascii="Times" w:hAnsi="Times"/>
          <w:noProof/>
        </w:rPr>
        <w:drawing>
          <wp:inline distT="0" distB="0" distL="0" distR="0" wp14:anchorId="2E1D5A34" wp14:editId="654DCAA1">
            <wp:extent cx="2657475" cy="193270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2106" cy="1950623"/>
                    </a:xfrm>
                    <a:prstGeom prst="rect">
                      <a:avLst/>
                    </a:prstGeom>
                  </pic:spPr>
                </pic:pic>
              </a:graphicData>
            </a:graphic>
          </wp:inline>
        </w:drawing>
      </w:r>
    </w:p>
    <w:p w14:paraId="54816CCD" w14:textId="03CCFB2B" w:rsidR="00667F13" w:rsidRDefault="00667F13" w:rsidP="00617F07">
      <w:pPr>
        <w:pStyle w:val="NormalWeb"/>
        <w:ind w:left="720"/>
        <w:jc w:val="both"/>
        <w:rPr>
          <w:rFonts w:ascii="Times" w:hAnsi="Times"/>
        </w:rPr>
      </w:pPr>
      <w:r>
        <w:rPr>
          <w:rFonts w:ascii="Times" w:hAnsi="Times"/>
        </w:rPr>
        <w:t xml:space="preserve">Para estimar el modelo de regresión mediante el panel, uso la prueba </w:t>
      </w:r>
      <w:proofErr w:type="spellStart"/>
      <w:r w:rsidRPr="00667F13">
        <w:rPr>
          <w:rFonts w:ascii="Times" w:hAnsi="Times"/>
        </w:rPr>
        <w:t>Breusch</w:t>
      </w:r>
      <w:proofErr w:type="spellEnd"/>
      <w:r w:rsidRPr="00667F13">
        <w:rPr>
          <w:rFonts w:ascii="Times" w:hAnsi="Times"/>
        </w:rPr>
        <w:t xml:space="preserve"> and Pagan </w:t>
      </w:r>
      <w:proofErr w:type="spellStart"/>
      <w:r w:rsidRPr="00667F13">
        <w:rPr>
          <w:rFonts w:ascii="Times" w:hAnsi="Times"/>
        </w:rPr>
        <w:t>Lagrangian</w:t>
      </w:r>
      <w:proofErr w:type="spellEnd"/>
      <w:r w:rsidRPr="00667F13">
        <w:rPr>
          <w:rFonts w:ascii="Times" w:hAnsi="Times"/>
        </w:rPr>
        <w:t xml:space="preserve"> </w:t>
      </w:r>
      <w:proofErr w:type="spellStart"/>
      <w:r w:rsidRPr="00667F13">
        <w:rPr>
          <w:rFonts w:ascii="Times" w:hAnsi="Times"/>
        </w:rPr>
        <w:t>multiplier</w:t>
      </w:r>
      <w:proofErr w:type="spellEnd"/>
      <w:r>
        <w:rPr>
          <w:rFonts w:ascii="Times" w:hAnsi="Times"/>
        </w:rPr>
        <w:t xml:space="preserve"> con la finalidad de determinar que esta estimación será mejor que estimarlo por MCO. La prueba de hipótesis nos da un p&lt; 0.05 por tanto  existe heterogeneidad no observada</w:t>
      </w:r>
      <w:r w:rsidR="00617F07">
        <w:rPr>
          <w:rFonts w:ascii="Times" w:hAnsi="Times"/>
        </w:rPr>
        <w:t>, por consiguiente estimo</w:t>
      </w:r>
      <w:r>
        <w:rPr>
          <w:rFonts w:ascii="Times" w:hAnsi="Times"/>
        </w:rPr>
        <w:t xml:space="preserve"> el modelo usando el panel de datos. </w:t>
      </w:r>
      <w:r w:rsidR="00617F07">
        <w:rPr>
          <w:rFonts w:ascii="Times" w:hAnsi="Times"/>
        </w:rPr>
        <w:t>Usan</w:t>
      </w:r>
      <w:r w:rsidR="00BD2865">
        <w:rPr>
          <w:rFonts w:ascii="Times" w:hAnsi="Times"/>
        </w:rPr>
        <w:t>d</w:t>
      </w:r>
      <w:r w:rsidR="00617F07">
        <w:rPr>
          <w:rFonts w:ascii="Times" w:hAnsi="Times"/>
        </w:rPr>
        <w:t xml:space="preserve">o el </w:t>
      </w:r>
      <w:r w:rsidRPr="00667F13">
        <w:rPr>
          <w:rFonts w:ascii="Times" w:hAnsi="Times"/>
        </w:rPr>
        <w:t xml:space="preserve">Test modificado de </w:t>
      </w:r>
      <w:proofErr w:type="spellStart"/>
      <w:r w:rsidRPr="00667F13">
        <w:rPr>
          <w:rFonts w:ascii="Times" w:hAnsi="Times"/>
        </w:rPr>
        <w:t>Wald</w:t>
      </w:r>
      <w:proofErr w:type="spellEnd"/>
      <w:r>
        <w:rPr>
          <w:rFonts w:ascii="Times" w:hAnsi="Times"/>
        </w:rPr>
        <w:t xml:space="preserve"> </w:t>
      </w:r>
      <w:r w:rsidR="00617F07">
        <w:rPr>
          <w:rFonts w:ascii="Times" w:hAnsi="Times"/>
        </w:rPr>
        <w:t>se</w:t>
      </w:r>
      <w:r>
        <w:rPr>
          <w:rFonts w:ascii="Times" w:hAnsi="Times"/>
        </w:rPr>
        <w:t xml:space="preserve"> verifica</w:t>
      </w:r>
      <w:r w:rsidR="00617F07">
        <w:rPr>
          <w:rFonts w:ascii="Times" w:hAnsi="Times"/>
        </w:rPr>
        <w:t xml:space="preserve"> </w:t>
      </w:r>
      <w:r w:rsidR="0081184D">
        <w:rPr>
          <w:rFonts w:ascii="Times" w:hAnsi="Times"/>
        </w:rPr>
        <w:t xml:space="preserve">la existencia de </w:t>
      </w:r>
      <w:proofErr w:type="spellStart"/>
      <w:r w:rsidR="0081184D">
        <w:rPr>
          <w:rFonts w:ascii="Times" w:hAnsi="Times"/>
        </w:rPr>
        <w:t>heterocedasticidad</w:t>
      </w:r>
      <w:proofErr w:type="spellEnd"/>
      <w:r w:rsidR="00617F07">
        <w:rPr>
          <w:rFonts w:ascii="Times" w:hAnsi="Times"/>
        </w:rPr>
        <w:t xml:space="preserve">, </w:t>
      </w:r>
      <w:r w:rsidR="006175E2">
        <w:rPr>
          <w:rFonts w:ascii="Times" w:hAnsi="Times"/>
        </w:rPr>
        <w:t>en consecuencia estimamos usando un modelo con corrección de errores estándar</w:t>
      </w:r>
      <w:r w:rsidR="00BD2865">
        <w:rPr>
          <w:rFonts w:ascii="Times" w:hAnsi="Times"/>
        </w:rPr>
        <w:t>.</w:t>
      </w:r>
    </w:p>
    <w:p w14:paraId="1645B034" w14:textId="2E51EA61" w:rsidR="006175E2" w:rsidRPr="002D49D7" w:rsidRDefault="006175E2" w:rsidP="006175E2">
      <w:pPr>
        <w:pStyle w:val="NormalWeb"/>
        <w:ind w:left="720"/>
        <w:jc w:val="center"/>
        <w:rPr>
          <w:rFonts w:ascii="Times" w:hAnsi="Times"/>
          <w:sz w:val="20"/>
          <w:szCs w:val="20"/>
        </w:rPr>
      </w:pPr>
      <w:r w:rsidRPr="002D49D7">
        <w:rPr>
          <w:rFonts w:ascii="Times" w:hAnsi="Times"/>
          <w:sz w:val="20"/>
          <w:szCs w:val="20"/>
        </w:rPr>
        <w:lastRenderedPageBreak/>
        <w:t>Tabla 1.</w:t>
      </w:r>
    </w:p>
    <w:p w14:paraId="17994A7B" w14:textId="61D527EC" w:rsidR="006175E2" w:rsidRPr="006175E2" w:rsidRDefault="006175E2" w:rsidP="006175E2">
      <w:pPr>
        <w:pStyle w:val="NormalWeb"/>
        <w:ind w:left="720"/>
        <w:jc w:val="center"/>
        <w:rPr>
          <w:rFonts w:ascii="Times" w:hAnsi="Times"/>
          <w:i/>
          <w:iCs/>
        </w:rPr>
      </w:pPr>
      <w:r>
        <w:rPr>
          <w:rFonts w:ascii="Times" w:hAnsi="Times"/>
          <w:i/>
          <w:iCs/>
        </w:rPr>
        <w:t>El precio de los fertilizantes y la inflación.</w:t>
      </w:r>
    </w:p>
    <w:tbl>
      <w:tblPr>
        <w:tblW w:w="0" w:type="auto"/>
        <w:jc w:val="center"/>
        <w:tblLayout w:type="fixed"/>
        <w:tblCellMar>
          <w:left w:w="75" w:type="dxa"/>
          <w:right w:w="75" w:type="dxa"/>
        </w:tblCellMar>
        <w:tblLook w:val="0000" w:firstRow="0" w:lastRow="0" w:firstColumn="0" w:lastColumn="0" w:noHBand="0" w:noVBand="0"/>
      </w:tblPr>
      <w:tblGrid>
        <w:gridCol w:w="3999"/>
        <w:gridCol w:w="2727"/>
      </w:tblGrid>
      <w:tr w:rsidR="006175E2" w14:paraId="358D1663" w14:textId="77777777" w:rsidTr="00224FEA">
        <w:trPr>
          <w:trHeight w:val="238"/>
          <w:jc w:val="center"/>
        </w:trPr>
        <w:tc>
          <w:tcPr>
            <w:tcW w:w="3999" w:type="dxa"/>
            <w:tcBorders>
              <w:top w:val="single" w:sz="6" w:space="0" w:color="auto"/>
              <w:left w:val="nil"/>
              <w:bottom w:val="nil"/>
              <w:right w:val="nil"/>
            </w:tcBorders>
          </w:tcPr>
          <w:p w14:paraId="17F61258" w14:textId="77777777" w:rsidR="006175E2" w:rsidRDefault="006175E2" w:rsidP="007557F8">
            <w:pPr>
              <w:widowControl w:val="0"/>
              <w:autoSpaceDE w:val="0"/>
              <w:autoSpaceDN w:val="0"/>
              <w:adjustRightInd w:val="0"/>
              <w:rPr>
                <w:lang w:val="es-ES_tradnl"/>
              </w:rPr>
            </w:pPr>
          </w:p>
        </w:tc>
        <w:tc>
          <w:tcPr>
            <w:tcW w:w="2727" w:type="dxa"/>
            <w:tcBorders>
              <w:top w:val="single" w:sz="6" w:space="0" w:color="auto"/>
              <w:left w:val="nil"/>
              <w:bottom w:val="nil"/>
              <w:right w:val="nil"/>
            </w:tcBorders>
          </w:tcPr>
          <w:p w14:paraId="562A7310" w14:textId="77777777" w:rsidR="006175E2" w:rsidRDefault="006175E2" w:rsidP="007557F8">
            <w:pPr>
              <w:widowControl w:val="0"/>
              <w:autoSpaceDE w:val="0"/>
              <w:autoSpaceDN w:val="0"/>
              <w:adjustRightInd w:val="0"/>
              <w:jc w:val="center"/>
              <w:rPr>
                <w:lang w:val="es-ES_tradnl"/>
              </w:rPr>
            </w:pPr>
            <w:r>
              <w:rPr>
                <w:lang w:val="es-ES_tradnl"/>
              </w:rPr>
              <w:t>(1)</w:t>
            </w:r>
          </w:p>
        </w:tc>
      </w:tr>
      <w:tr w:rsidR="006175E2" w14:paraId="135F9F72" w14:textId="77777777" w:rsidTr="00224FEA">
        <w:trPr>
          <w:trHeight w:val="251"/>
          <w:jc w:val="center"/>
        </w:trPr>
        <w:tc>
          <w:tcPr>
            <w:tcW w:w="3999" w:type="dxa"/>
            <w:tcBorders>
              <w:top w:val="nil"/>
              <w:left w:val="nil"/>
              <w:bottom w:val="single" w:sz="6" w:space="0" w:color="auto"/>
              <w:right w:val="nil"/>
            </w:tcBorders>
          </w:tcPr>
          <w:p w14:paraId="00A0AB30" w14:textId="77777777" w:rsidR="006175E2" w:rsidRDefault="006175E2" w:rsidP="007557F8">
            <w:pPr>
              <w:widowControl w:val="0"/>
              <w:autoSpaceDE w:val="0"/>
              <w:autoSpaceDN w:val="0"/>
              <w:adjustRightInd w:val="0"/>
              <w:rPr>
                <w:lang w:val="es-ES_tradnl"/>
              </w:rPr>
            </w:pPr>
            <w:r>
              <w:rPr>
                <w:lang w:val="es-ES_tradnl"/>
              </w:rPr>
              <w:t>Variables dependientes</w:t>
            </w:r>
          </w:p>
        </w:tc>
        <w:tc>
          <w:tcPr>
            <w:tcW w:w="2727" w:type="dxa"/>
            <w:tcBorders>
              <w:top w:val="nil"/>
              <w:left w:val="nil"/>
              <w:bottom w:val="single" w:sz="6" w:space="0" w:color="auto"/>
              <w:right w:val="nil"/>
            </w:tcBorders>
          </w:tcPr>
          <w:p w14:paraId="2ED3EE09" w14:textId="6CB21F28" w:rsidR="006175E2" w:rsidRDefault="006175E2" w:rsidP="007557F8">
            <w:pPr>
              <w:widowControl w:val="0"/>
              <w:autoSpaceDE w:val="0"/>
              <w:autoSpaceDN w:val="0"/>
              <w:adjustRightInd w:val="0"/>
              <w:jc w:val="center"/>
              <w:rPr>
                <w:lang w:val="es-ES_tradnl"/>
              </w:rPr>
            </w:pPr>
            <w:r>
              <w:rPr>
                <w:lang w:val="es-ES_tradnl"/>
              </w:rPr>
              <w:t>IPC Acumulado</w:t>
            </w:r>
          </w:p>
        </w:tc>
      </w:tr>
      <w:tr w:rsidR="006175E2" w14:paraId="1B017D2C" w14:textId="77777777" w:rsidTr="00224FEA">
        <w:trPr>
          <w:trHeight w:val="238"/>
          <w:jc w:val="center"/>
        </w:trPr>
        <w:tc>
          <w:tcPr>
            <w:tcW w:w="3999" w:type="dxa"/>
            <w:tcBorders>
              <w:top w:val="nil"/>
              <w:left w:val="nil"/>
              <w:bottom w:val="nil"/>
              <w:right w:val="nil"/>
            </w:tcBorders>
          </w:tcPr>
          <w:p w14:paraId="5674A507" w14:textId="77777777" w:rsidR="006175E2" w:rsidRDefault="006175E2" w:rsidP="007557F8">
            <w:pPr>
              <w:widowControl w:val="0"/>
              <w:autoSpaceDE w:val="0"/>
              <w:autoSpaceDN w:val="0"/>
              <w:adjustRightInd w:val="0"/>
              <w:rPr>
                <w:lang w:val="es-ES_tradnl"/>
              </w:rPr>
            </w:pPr>
          </w:p>
        </w:tc>
        <w:tc>
          <w:tcPr>
            <w:tcW w:w="2727" w:type="dxa"/>
            <w:tcBorders>
              <w:top w:val="nil"/>
              <w:left w:val="nil"/>
              <w:bottom w:val="nil"/>
              <w:right w:val="nil"/>
            </w:tcBorders>
          </w:tcPr>
          <w:p w14:paraId="53EBE01C" w14:textId="77777777" w:rsidR="006175E2" w:rsidRDefault="006175E2" w:rsidP="007557F8">
            <w:pPr>
              <w:widowControl w:val="0"/>
              <w:autoSpaceDE w:val="0"/>
              <w:autoSpaceDN w:val="0"/>
              <w:adjustRightInd w:val="0"/>
              <w:jc w:val="center"/>
              <w:rPr>
                <w:lang w:val="es-ES_tradnl"/>
              </w:rPr>
            </w:pPr>
          </w:p>
        </w:tc>
      </w:tr>
      <w:tr w:rsidR="006175E2" w14:paraId="17536E18" w14:textId="77777777" w:rsidTr="00224FEA">
        <w:trPr>
          <w:trHeight w:val="251"/>
          <w:jc w:val="center"/>
        </w:trPr>
        <w:tc>
          <w:tcPr>
            <w:tcW w:w="3999" w:type="dxa"/>
            <w:tcBorders>
              <w:top w:val="nil"/>
              <w:left w:val="nil"/>
              <w:bottom w:val="nil"/>
              <w:right w:val="nil"/>
            </w:tcBorders>
          </w:tcPr>
          <w:p w14:paraId="232BC326" w14:textId="77777777" w:rsidR="006175E2" w:rsidRDefault="006175E2" w:rsidP="007557F8">
            <w:pPr>
              <w:widowControl w:val="0"/>
              <w:autoSpaceDE w:val="0"/>
              <w:autoSpaceDN w:val="0"/>
              <w:adjustRightInd w:val="0"/>
              <w:rPr>
                <w:lang w:val="es-ES_tradnl"/>
              </w:rPr>
            </w:pPr>
            <w:r>
              <w:rPr>
                <w:lang w:val="es-ES_tradnl"/>
              </w:rPr>
              <w:t>Precio Fertilizantes</w:t>
            </w:r>
          </w:p>
        </w:tc>
        <w:tc>
          <w:tcPr>
            <w:tcW w:w="2727" w:type="dxa"/>
            <w:tcBorders>
              <w:top w:val="nil"/>
              <w:left w:val="nil"/>
              <w:bottom w:val="nil"/>
              <w:right w:val="nil"/>
            </w:tcBorders>
          </w:tcPr>
          <w:p w14:paraId="60EA4B31" w14:textId="77777777" w:rsidR="006175E2" w:rsidRDefault="006175E2" w:rsidP="007557F8">
            <w:pPr>
              <w:widowControl w:val="0"/>
              <w:autoSpaceDE w:val="0"/>
              <w:autoSpaceDN w:val="0"/>
              <w:adjustRightInd w:val="0"/>
              <w:jc w:val="center"/>
              <w:rPr>
                <w:lang w:val="es-ES_tradnl"/>
              </w:rPr>
            </w:pPr>
            <w:r>
              <w:rPr>
                <w:lang w:val="es-ES_tradnl"/>
              </w:rPr>
              <w:t>0.000870**</w:t>
            </w:r>
          </w:p>
        </w:tc>
      </w:tr>
      <w:tr w:rsidR="006175E2" w14:paraId="11D7E7FD" w14:textId="77777777" w:rsidTr="00224FEA">
        <w:trPr>
          <w:trHeight w:val="238"/>
          <w:jc w:val="center"/>
        </w:trPr>
        <w:tc>
          <w:tcPr>
            <w:tcW w:w="3999" w:type="dxa"/>
            <w:tcBorders>
              <w:top w:val="nil"/>
              <w:left w:val="nil"/>
              <w:bottom w:val="nil"/>
              <w:right w:val="nil"/>
            </w:tcBorders>
          </w:tcPr>
          <w:p w14:paraId="76B359A5" w14:textId="77777777" w:rsidR="006175E2" w:rsidRDefault="006175E2" w:rsidP="007557F8">
            <w:pPr>
              <w:widowControl w:val="0"/>
              <w:autoSpaceDE w:val="0"/>
              <w:autoSpaceDN w:val="0"/>
              <w:adjustRightInd w:val="0"/>
              <w:rPr>
                <w:lang w:val="es-ES_tradnl"/>
              </w:rPr>
            </w:pPr>
          </w:p>
        </w:tc>
        <w:tc>
          <w:tcPr>
            <w:tcW w:w="2727" w:type="dxa"/>
            <w:tcBorders>
              <w:top w:val="nil"/>
              <w:left w:val="nil"/>
              <w:bottom w:val="nil"/>
              <w:right w:val="nil"/>
            </w:tcBorders>
          </w:tcPr>
          <w:p w14:paraId="5983015B" w14:textId="77777777" w:rsidR="006175E2" w:rsidRDefault="006175E2" w:rsidP="007557F8">
            <w:pPr>
              <w:widowControl w:val="0"/>
              <w:autoSpaceDE w:val="0"/>
              <w:autoSpaceDN w:val="0"/>
              <w:adjustRightInd w:val="0"/>
              <w:jc w:val="center"/>
              <w:rPr>
                <w:lang w:val="es-ES_tradnl"/>
              </w:rPr>
            </w:pPr>
            <w:r>
              <w:rPr>
                <w:lang w:val="es-ES_tradnl"/>
              </w:rPr>
              <w:t>(0.000412)</w:t>
            </w:r>
          </w:p>
        </w:tc>
      </w:tr>
      <w:tr w:rsidR="006175E2" w14:paraId="1E3D1337" w14:textId="77777777" w:rsidTr="00224FEA">
        <w:trPr>
          <w:trHeight w:val="238"/>
          <w:jc w:val="center"/>
        </w:trPr>
        <w:tc>
          <w:tcPr>
            <w:tcW w:w="3999" w:type="dxa"/>
            <w:tcBorders>
              <w:top w:val="nil"/>
              <w:left w:val="nil"/>
              <w:bottom w:val="nil"/>
              <w:right w:val="nil"/>
            </w:tcBorders>
          </w:tcPr>
          <w:p w14:paraId="22EB85EA" w14:textId="29DF9749" w:rsidR="006175E2" w:rsidRDefault="006175E2" w:rsidP="007557F8">
            <w:pPr>
              <w:widowControl w:val="0"/>
              <w:autoSpaceDE w:val="0"/>
              <w:autoSpaceDN w:val="0"/>
              <w:adjustRightInd w:val="0"/>
              <w:rPr>
                <w:lang w:val="es-ES_tradnl"/>
              </w:rPr>
            </w:pPr>
            <w:r>
              <w:rPr>
                <w:lang w:val="es-ES_tradnl"/>
              </w:rPr>
              <w:t>IPC País</w:t>
            </w:r>
          </w:p>
        </w:tc>
        <w:tc>
          <w:tcPr>
            <w:tcW w:w="2727" w:type="dxa"/>
            <w:tcBorders>
              <w:top w:val="nil"/>
              <w:left w:val="nil"/>
              <w:bottom w:val="nil"/>
              <w:right w:val="nil"/>
            </w:tcBorders>
          </w:tcPr>
          <w:p w14:paraId="407D33E8" w14:textId="77777777" w:rsidR="006175E2" w:rsidRDefault="006175E2" w:rsidP="007557F8">
            <w:pPr>
              <w:widowControl w:val="0"/>
              <w:autoSpaceDE w:val="0"/>
              <w:autoSpaceDN w:val="0"/>
              <w:adjustRightInd w:val="0"/>
              <w:jc w:val="center"/>
              <w:rPr>
                <w:lang w:val="es-ES_tradnl"/>
              </w:rPr>
            </w:pPr>
            <w:r>
              <w:rPr>
                <w:lang w:val="es-ES_tradnl"/>
              </w:rPr>
              <w:t>1.065***</w:t>
            </w:r>
          </w:p>
        </w:tc>
      </w:tr>
      <w:tr w:rsidR="006175E2" w14:paraId="2AAD4CBF" w14:textId="77777777" w:rsidTr="00224FEA">
        <w:trPr>
          <w:trHeight w:val="251"/>
          <w:jc w:val="center"/>
        </w:trPr>
        <w:tc>
          <w:tcPr>
            <w:tcW w:w="3999" w:type="dxa"/>
            <w:tcBorders>
              <w:top w:val="nil"/>
              <w:left w:val="nil"/>
              <w:bottom w:val="nil"/>
              <w:right w:val="nil"/>
            </w:tcBorders>
          </w:tcPr>
          <w:p w14:paraId="2816E6D8" w14:textId="77777777" w:rsidR="006175E2" w:rsidRDefault="006175E2" w:rsidP="007557F8">
            <w:pPr>
              <w:widowControl w:val="0"/>
              <w:autoSpaceDE w:val="0"/>
              <w:autoSpaceDN w:val="0"/>
              <w:adjustRightInd w:val="0"/>
              <w:rPr>
                <w:lang w:val="es-ES_tradnl"/>
              </w:rPr>
            </w:pPr>
          </w:p>
        </w:tc>
        <w:tc>
          <w:tcPr>
            <w:tcW w:w="2727" w:type="dxa"/>
            <w:tcBorders>
              <w:top w:val="nil"/>
              <w:left w:val="nil"/>
              <w:bottom w:val="nil"/>
              <w:right w:val="nil"/>
            </w:tcBorders>
          </w:tcPr>
          <w:p w14:paraId="11A2B959" w14:textId="77777777" w:rsidR="006175E2" w:rsidRDefault="006175E2" w:rsidP="007557F8">
            <w:pPr>
              <w:widowControl w:val="0"/>
              <w:autoSpaceDE w:val="0"/>
              <w:autoSpaceDN w:val="0"/>
              <w:adjustRightInd w:val="0"/>
              <w:jc w:val="center"/>
              <w:rPr>
                <w:lang w:val="es-ES_tradnl"/>
              </w:rPr>
            </w:pPr>
            <w:r>
              <w:rPr>
                <w:lang w:val="es-ES_tradnl"/>
              </w:rPr>
              <w:t>(0.0339)</w:t>
            </w:r>
          </w:p>
        </w:tc>
      </w:tr>
      <w:tr w:rsidR="006175E2" w14:paraId="62B0735B" w14:textId="77777777" w:rsidTr="00224FEA">
        <w:trPr>
          <w:trHeight w:val="238"/>
          <w:jc w:val="center"/>
        </w:trPr>
        <w:tc>
          <w:tcPr>
            <w:tcW w:w="3999" w:type="dxa"/>
            <w:tcBorders>
              <w:top w:val="nil"/>
              <w:left w:val="nil"/>
              <w:bottom w:val="nil"/>
              <w:right w:val="nil"/>
            </w:tcBorders>
          </w:tcPr>
          <w:p w14:paraId="556604D1" w14:textId="77777777" w:rsidR="006175E2" w:rsidRDefault="006175E2" w:rsidP="007557F8">
            <w:pPr>
              <w:widowControl w:val="0"/>
              <w:autoSpaceDE w:val="0"/>
              <w:autoSpaceDN w:val="0"/>
              <w:adjustRightInd w:val="0"/>
              <w:rPr>
                <w:lang w:val="es-ES_tradnl"/>
              </w:rPr>
            </w:pPr>
            <w:r>
              <w:rPr>
                <w:lang w:val="es-ES_tradnl"/>
              </w:rPr>
              <w:t>TRM</w:t>
            </w:r>
          </w:p>
        </w:tc>
        <w:tc>
          <w:tcPr>
            <w:tcW w:w="2727" w:type="dxa"/>
            <w:tcBorders>
              <w:top w:val="nil"/>
              <w:left w:val="nil"/>
              <w:bottom w:val="nil"/>
              <w:right w:val="nil"/>
            </w:tcBorders>
          </w:tcPr>
          <w:p w14:paraId="45D3A011" w14:textId="77777777" w:rsidR="006175E2" w:rsidRDefault="006175E2" w:rsidP="007557F8">
            <w:pPr>
              <w:widowControl w:val="0"/>
              <w:autoSpaceDE w:val="0"/>
              <w:autoSpaceDN w:val="0"/>
              <w:adjustRightInd w:val="0"/>
              <w:jc w:val="center"/>
              <w:rPr>
                <w:lang w:val="es-ES_tradnl"/>
              </w:rPr>
            </w:pPr>
            <w:r>
              <w:rPr>
                <w:lang w:val="es-ES_tradnl"/>
              </w:rPr>
              <w:t>0.000107</w:t>
            </w:r>
          </w:p>
        </w:tc>
      </w:tr>
      <w:tr w:rsidR="006175E2" w14:paraId="1C64F731" w14:textId="77777777" w:rsidTr="00224FEA">
        <w:trPr>
          <w:trHeight w:val="251"/>
          <w:jc w:val="center"/>
        </w:trPr>
        <w:tc>
          <w:tcPr>
            <w:tcW w:w="3999" w:type="dxa"/>
            <w:tcBorders>
              <w:top w:val="nil"/>
              <w:left w:val="nil"/>
              <w:bottom w:val="nil"/>
              <w:right w:val="nil"/>
            </w:tcBorders>
          </w:tcPr>
          <w:p w14:paraId="26465954" w14:textId="77777777" w:rsidR="006175E2" w:rsidRDefault="006175E2" w:rsidP="007557F8">
            <w:pPr>
              <w:widowControl w:val="0"/>
              <w:autoSpaceDE w:val="0"/>
              <w:autoSpaceDN w:val="0"/>
              <w:adjustRightInd w:val="0"/>
              <w:rPr>
                <w:lang w:val="es-ES_tradnl"/>
              </w:rPr>
            </w:pPr>
          </w:p>
        </w:tc>
        <w:tc>
          <w:tcPr>
            <w:tcW w:w="2727" w:type="dxa"/>
            <w:tcBorders>
              <w:top w:val="nil"/>
              <w:left w:val="nil"/>
              <w:bottom w:val="nil"/>
              <w:right w:val="nil"/>
            </w:tcBorders>
          </w:tcPr>
          <w:p w14:paraId="73DDBB3D" w14:textId="77777777" w:rsidR="006175E2" w:rsidRDefault="006175E2" w:rsidP="007557F8">
            <w:pPr>
              <w:widowControl w:val="0"/>
              <w:autoSpaceDE w:val="0"/>
              <w:autoSpaceDN w:val="0"/>
              <w:adjustRightInd w:val="0"/>
              <w:jc w:val="center"/>
              <w:rPr>
                <w:lang w:val="es-ES_tradnl"/>
              </w:rPr>
            </w:pPr>
            <w:r>
              <w:rPr>
                <w:lang w:val="es-ES_tradnl"/>
              </w:rPr>
              <w:t>(0.000120)</w:t>
            </w:r>
          </w:p>
        </w:tc>
      </w:tr>
      <w:tr w:rsidR="006175E2" w14:paraId="431EE211" w14:textId="77777777" w:rsidTr="00224FEA">
        <w:trPr>
          <w:trHeight w:val="238"/>
          <w:jc w:val="center"/>
        </w:trPr>
        <w:tc>
          <w:tcPr>
            <w:tcW w:w="3999" w:type="dxa"/>
            <w:tcBorders>
              <w:top w:val="nil"/>
              <w:left w:val="nil"/>
              <w:bottom w:val="nil"/>
              <w:right w:val="nil"/>
            </w:tcBorders>
          </w:tcPr>
          <w:p w14:paraId="686BD928" w14:textId="77777777" w:rsidR="006175E2" w:rsidRDefault="006175E2" w:rsidP="007557F8">
            <w:pPr>
              <w:widowControl w:val="0"/>
              <w:autoSpaceDE w:val="0"/>
              <w:autoSpaceDN w:val="0"/>
              <w:adjustRightInd w:val="0"/>
              <w:rPr>
                <w:lang w:val="es-ES_tradnl"/>
              </w:rPr>
            </w:pPr>
            <w:r>
              <w:rPr>
                <w:lang w:val="es-ES_tradnl"/>
              </w:rPr>
              <w:t>Constant</w:t>
            </w:r>
          </w:p>
        </w:tc>
        <w:tc>
          <w:tcPr>
            <w:tcW w:w="2727" w:type="dxa"/>
            <w:tcBorders>
              <w:top w:val="nil"/>
              <w:left w:val="nil"/>
              <w:bottom w:val="nil"/>
              <w:right w:val="nil"/>
            </w:tcBorders>
          </w:tcPr>
          <w:p w14:paraId="0C76C2E1" w14:textId="77777777" w:rsidR="006175E2" w:rsidRDefault="006175E2" w:rsidP="007557F8">
            <w:pPr>
              <w:widowControl w:val="0"/>
              <w:autoSpaceDE w:val="0"/>
              <w:autoSpaceDN w:val="0"/>
              <w:adjustRightInd w:val="0"/>
              <w:jc w:val="center"/>
              <w:rPr>
                <w:lang w:val="es-ES_tradnl"/>
              </w:rPr>
            </w:pPr>
            <w:r>
              <w:rPr>
                <w:lang w:val="es-ES_tradnl"/>
              </w:rPr>
              <w:t>-0.661</w:t>
            </w:r>
          </w:p>
        </w:tc>
      </w:tr>
      <w:tr w:rsidR="006175E2" w14:paraId="3EAA8529" w14:textId="77777777" w:rsidTr="00224FEA">
        <w:trPr>
          <w:trHeight w:val="238"/>
          <w:jc w:val="center"/>
        </w:trPr>
        <w:tc>
          <w:tcPr>
            <w:tcW w:w="3999" w:type="dxa"/>
            <w:tcBorders>
              <w:top w:val="nil"/>
              <w:left w:val="nil"/>
              <w:bottom w:val="nil"/>
              <w:right w:val="nil"/>
            </w:tcBorders>
          </w:tcPr>
          <w:p w14:paraId="12D38616" w14:textId="77777777" w:rsidR="006175E2" w:rsidRDefault="006175E2" w:rsidP="007557F8">
            <w:pPr>
              <w:widowControl w:val="0"/>
              <w:autoSpaceDE w:val="0"/>
              <w:autoSpaceDN w:val="0"/>
              <w:adjustRightInd w:val="0"/>
              <w:rPr>
                <w:lang w:val="es-ES_tradnl"/>
              </w:rPr>
            </w:pPr>
          </w:p>
        </w:tc>
        <w:tc>
          <w:tcPr>
            <w:tcW w:w="2727" w:type="dxa"/>
            <w:tcBorders>
              <w:top w:val="nil"/>
              <w:left w:val="nil"/>
              <w:bottom w:val="nil"/>
              <w:right w:val="nil"/>
            </w:tcBorders>
          </w:tcPr>
          <w:p w14:paraId="57CBC0A6" w14:textId="77777777" w:rsidR="006175E2" w:rsidRDefault="006175E2" w:rsidP="007557F8">
            <w:pPr>
              <w:widowControl w:val="0"/>
              <w:autoSpaceDE w:val="0"/>
              <w:autoSpaceDN w:val="0"/>
              <w:adjustRightInd w:val="0"/>
              <w:jc w:val="center"/>
              <w:rPr>
                <w:lang w:val="es-ES_tradnl"/>
              </w:rPr>
            </w:pPr>
            <w:r>
              <w:rPr>
                <w:lang w:val="es-ES_tradnl"/>
              </w:rPr>
              <w:t>(0.415)</w:t>
            </w:r>
          </w:p>
        </w:tc>
      </w:tr>
      <w:tr w:rsidR="006175E2" w14:paraId="0C3F9422" w14:textId="77777777" w:rsidTr="00224FEA">
        <w:trPr>
          <w:trHeight w:val="251"/>
          <w:jc w:val="center"/>
        </w:trPr>
        <w:tc>
          <w:tcPr>
            <w:tcW w:w="3999" w:type="dxa"/>
            <w:tcBorders>
              <w:top w:val="nil"/>
              <w:left w:val="nil"/>
              <w:bottom w:val="nil"/>
              <w:right w:val="nil"/>
            </w:tcBorders>
          </w:tcPr>
          <w:p w14:paraId="2EC33C1B" w14:textId="77777777" w:rsidR="006175E2" w:rsidRDefault="006175E2" w:rsidP="007557F8">
            <w:pPr>
              <w:widowControl w:val="0"/>
              <w:autoSpaceDE w:val="0"/>
              <w:autoSpaceDN w:val="0"/>
              <w:adjustRightInd w:val="0"/>
              <w:rPr>
                <w:lang w:val="es-ES_tradnl"/>
              </w:rPr>
            </w:pPr>
          </w:p>
        </w:tc>
        <w:tc>
          <w:tcPr>
            <w:tcW w:w="2727" w:type="dxa"/>
            <w:tcBorders>
              <w:top w:val="nil"/>
              <w:left w:val="nil"/>
              <w:bottom w:val="nil"/>
              <w:right w:val="nil"/>
            </w:tcBorders>
          </w:tcPr>
          <w:p w14:paraId="12E592DB" w14:textId="77777777" w:rsidR="006175E2" w:rsidRDefault="006175E2" w:rsidP="007557F8">
            <w:pPr>
              <w:widowControl w:val="0"/>
              <w:autoSpaceDE w:val="0"/>
              <w:autoSpaceDN w:val="0"/>
              <w:adjustRightInd w:val="0"/>
              <w:jc w:val="center"/>
              <w:rPr>
                <w:lang w:val="es-ES_tradnl"/>
              </w:rPr>
            </w:pPr>
          </w:p>
        </w:tc>
      </w:tr>
      <w:tr w:rsidR="006175E2" w14:paraId="6BDA5CA3" w14:textId="77777777" w:rsidTr="00224FEA">
        <w:trPr>
          <w:trHeight w:val="238"/>
          <w:jc w:val="center"/>
        </w:trPr>
        <w:tc>
          <w:tcPr>
            <w:tcW w:w="3999" w:type="dxa"/>
            <w:tcBorders>
              <w:top w:val="nil"/>
              <w:left w:val="nil"/>
              <w:bottom w:val="nil"/>
              <w:right w:val="nil"/>
            </w:tcBorders>
          </w:tcPr>
          <w:p w14:paraId="7E229525" w14:textId="77777777" w:rsidR="006175E2" w:rsidRDefault="006175E2" w:rsidP="007557F8">
            <w:pPr>
              <w:widowControl w:val="0"/>
              <w:autoSpaceDE w:val="0"/>
              <w:autoSpaceDN w:val="0"/>
              <w:adjustRightInd w:val="0"/>
              <w:rPr>
                <w:lang w:val="es-ES_tradnl"/>
              </w:rPr>
            </w:pPr>
            <w:r>
              <w:rPr>
                <w:lang w:val="es-ES_tradnl"/>
              </w:rPr>
              <w:t>Observations</w:t>
            </w:r>
          </w:p>
        </w:tc>
        <w:tc>
          <w:tcPr>
            <w:tcW w:w="2727" w:type="dxa"/>
            <w:tcBorders>
              <w:top w:val="nil"/>
              <w:left w:val="nil"/>
              <w:bottom w:val="nil"/>
              <w:right w:val="nil"/>
            </w:tcBorders>
          </w:tcPr>
          <w:p w14:paraId="0FC0A082" w14:textId="77777777" w:rsidR="006175E2" w:rsidRDefault="006175E2" w:rsidP="007557F8">
            <w:pPr>
              <w:widowControl w:val="0"/>
              <w:autoSpaceDE w:val="0"/>
              <w:autoSpaceDN w:val="0"/>
              <w:adjustRightInd w:val="0"/>
              <w:jc w:val="center"/>
              <w:rPr>
                <w:lang w:val="es-ES_tradnl"/>
              </w:rPr>
            </w:pPr>
            <w:r>
              <w:rPr>
                <w:lang w:val="es-ES_tradnl"/>
              </w:rPr>
              <w:t>1,012</w:t>
            </w:r>
          </w:p>
        </w:tc>
      </w:tr>
      <w:tr w:rsidR="006175E2" w14:paraId="32BBAAD5" w14:textId="77777777" w:rsidTr="00224FEA">
        <w:trPr>
          <w:trHeight w:val="251"/>
          <w:jc w:val="center"/>
        </w:trPr>
        <w:tc>
          <w:tcPr>
            <w:tcW w:w="3999" w:type="dxa"/>
            <w:tcBorders>
              <w:top w:val="nil"/>
              <w:left w:val="nil"/>
              <w:bottom w:val="nil"/>
              <w:right w:val="nil"/>
            </w:tcBorders>
          </w:tcPr>
          <w:p w14:paraId="3320C902" w14:textId="6FD94ED6" w:rsidR="006175E2" w:rsidRDefault="006175E2" w:rsidP="007557F8">
            <w:pPr>
              <w:widowControl w:val="0"/>
              <w:autoSpaceDE w:val="0"/>
              <w:autoSpaceDN w:val="0"/>
              <w:adjustRightInd w:val="0"/>
              <w:rPr>
                <w:lang w:val="es-ES_tradnl"/>
              </w:rPr>
            </w:pPr>
            <w:proofErr w:type="spellStart"/>
            <w:r>
              <w:rPr>
                <w:lang w:val="es-ES_tradnl"/>
              </w:rPr>
              <w:t>Number</w:t>
            </w:r>
            <w:proofErr w:type="spellEnd"/>
            <w:r>
              <w:rPr>
                <w:lang w:val="es-ES_tradnl"/>
              </w:rPr>
              <w:t xml:space="preserve"> of City</w:t>
            </w:r>
          </w:p>
        </w:tc>
        <w:tc>
          <w:tcPr>
            <w:tcW w:w="2727" w:type="dxa"/>
            <w:tcBorders>
              <w:top w:val="nil"/>
              <w:left w:val="nil"/>
              <w:bottom w:val="nil"/>
              <w:right w:val="nil"/>
            </w:tcBorders>
          </w:tcPr>
          <w:p w14:paraId="0BCC2BDE" w14:textId="77777777" w:rsidR="006175E2" w:rsidRDefault="006175E2" w:rsidP="007557F8">
            <w:pPr>
              <w:widowControl w:val="0"/>
              <w:autoSpaceDE w:val="0"/>
              <w:autoSpaceDN w:val="0"/>
              <w:adjustRightInd w:val="0"/>
              <w:jc w:val="center"/>
              <w:rPr>
                <w:lang w:val="es-ES_tradnl"/>
              </w:rPr>
            </w:pPr>
            <w:r>
              <w:rPr>
                <w:lang w:val="es-ES_tradnl"/>
              </w:rPr>
              <w:t>22</w:t>
            </w:r>
          </w:p>
        </w:tc>
      </w:tr>
      <w:tr w:rsidR="006175E2" w14:paraId="54AE948D" w14:textId="77777777" w:rsidTr="00224FEA">
        <w:tblPrEx>
          <w:tblBorders>
            <w:bottom w:val="single" w:sz="6" w:space="0" w:color="auto"/>
          </w:tblBorders>
        </w:tblPrEx>
        <w:trPr>
          <w:trHeight w:val="238"/>
          <w:jc w:val="center"/>
        </w:trPr>
        <w:tc>
          <w:tcPr>
            <w:tcW w:w="3999" w:type="dxa"/>
            <w:tcBorders>
              <w:top w:val="nil"/>
              <w:left w:val="nil"/>
              <w:bottom w:val="single" w:sz="6" w:space="0" w:color="auto"/>
              <w:right w:val="nil"/>
            </w:tcBorders>
          </w:tcPr>
          <w:p w14:paraId="64957648" w14:textId="77777777" w:rsidR="006175E2" w:rsidRDefault="006175E2" w:rsidP="007557F8">
            <w:pPr>
              <w:widowControl w:val="0"/>
              <w:autoSpaceDE w:val="0"/>
              <w:autoSpaceDN w:val="0"/>
              <w:adjustRightInd w:val="0"/>
              <w:rPr>
                <w:lang w:val="es-ES_tradnl"/>
              </w:rPr>
            </w:pPr>
            <w:r>
              <w:rPr>
                <w:lang w:val="es-ES_tradnl"/>
              </w:rPr>
              <w:t>R-</w:t>
            </w:r>
            <w:proofErr w:type="spellStart"/>
            <w:r>
              <w:rPr>
                <w:lang w:val="es-ES_tradnl"/>
              </w:rPr>
              <w:t>squared</w:t>
            </w:r>
            <w:proofErr w:type="spellEnd"/>
          </w:p>
        </w:tc>
        <w:tc>
          <w:tcPr>
            <w:tcW w:w="2727" w:type="dxa"/>
            <w:tcBorders>
              <w:top w:val="nil"/>
              <w:left w:val="nil"/>
              <w:bottom w:val="single" w:sz="6" w:space="0" w:color="auto"/>
              <w:right w:val="nil"/>
            </w:tcBorders>
          </w:tcPr>
          <w:p w14:paraId="54E79E3E" w14:textId="77777777" w:rsidR="006175E2" w:rsidRDefault="006175E2" w:rsidP="007557F8">
            <w:pPr>
              <w:widowControl w:val="0"/>
              <w:autoSpaceDE w:val="0"/>
              <w:autoSpaceDN w:val="0"/>
              <w:adjustRightInd w:val="0"/>
              <w:jc w:val="center"/>
              <w:rPr>
                <w:lang w:val="es-ES_tradnl"/>
              </w:rPr>
            </w:pPr>
            <w:r>
              <w:rPr>
                <w:lang w:val="es-ES_tradnl"/>
              </w:rPr>
              <w:t>0.716</w:t>
            </w:r>
          </w:p>
        </w:tc>
      </w:tr>
    </w:tbl>
    <w:p w14:paraId="4885D1DE" w14:textId="77777777" w:rsidR="006175E2" w:rsidRDefault="006175E2" w:rsidP="006175E2">
      <w:pPr>
        <w:widowControl w:val="0"/>
        <w:autoSpaceDE w:val="0"/>
        <w:autoSpaceDN w:val="0"/>
        <w:adjustRightInd w:val="0"/>
        <w:jc w:val="center"/>
        <w:rPr>
          <w:lang w:val="es-ES_tradnl"/>
        </w:rPr>
      </w:pPr>
      <w:r>
        <w:rPr>
          <w:lang w:val="es-ES_tradnl"/>
        </w:rPr>
        <w:t>Standard errors in parentheses</w:t>
      </w:r>
    </w:p>
    <w:p w14:paraId="50D11A06" w14:textId="77777777" w:rsidR="006175E2" w:rsidRDefault="006175E2" w:rsidP="006175E2">
      <w:pPr>
        <w:widowControl w:val="0"/>
        <w:autoSpaceDE w:val="0"/>
        <w:autoSpaceDN w:val="0"/>
        <w:adjustRightInd w:val="0"/>
        <w:jc w:val="center"/>
        <w:rPr>
          <w:lang w:val="es-ES_tradnl"/>
        </w:rPr>
      </w:pPr>
      <w:r>
        <w:rPr>
          <w:lang w:val="es-ES_tradnl"/>
        </w:rPr>
        <w:t>*** p&lt;0.01, ** p&lt;0.05, * p&lt;0.1</w:t>
      </w:r>
    </w:p>
    <w:p w14:paraId="062AB98B" w14:textId="07DC2732" w:rsidR="00617F07" w:rsidRDefault="006175E2" w:rsidP="00617F07">
      <w:pPr>
        <w:pStyle w:val="NormalWeb"/>
        <w:ind w:left="720"/>
        <w:jc w:val="both"/>
        <w:rPr>
          <w:rFonts w:ascii="Times" w:hAnsi="Times"/>
        </w:rPr>
      </w:pPr>
      <w:r>
        <w:rPr>
          <w:rFonts w:ascii="Times" w:hAnsi="Times"/>
        </w:rPr>
        <w:t>La tabla 1 muestra que existe una correlación importante R</w:t>
      </w:r>
      <w:r w:rsidRPr="006175E2">
        <w:rPr>
          <w:rFonts w:ascii="Times" w:hAnsi="Times"/>
          <w:vertAlign w:val="superscript"/>
        </w:rPr>
        <w:t>2</w:t>
      </w:r>
      <w:r>
        <w:rPr>
          <w:rFonts w:ascii="Times" w:hAnsi="Times"/>
        </w:rPr>
        <w:t>=0.71</w:t>
      </w:r>
      <w:r w:rsidR="0028679F">
        <w:rPr>
          <w:rFonts w:ascii="Times" w:hAnsi="Times"/>
        </w:rPr>
        <w:t xml:space="preserve"> entre el precio internacional de los fertilizantes y la</w:t>
      </w:r>
      <w:r>
        <w:rPr>
          <w:rFonts w:ascii="Times" w:hAnsi="Times"/>
        </w:rPr>
        <w:t xml:space="preserve"> </w:t>
      </w:r>
      <w:r w:rsidR="0028679F">
        <w:rPr>
          <w:rFonts w:ascii="Times" w:hAnsi="Times"/>
        </w:rPr>
        <w:t>inflación. E</w:t>
      </w:r>
      <w:r>
        <w:rPr>
          <w:rFonts w:ascii="Times" w:hAnsi="Times"/>
        </w:rPr>
        <w:t xml:space="preserve">sta </w:t>
      </w:r>
      <w:r w:rsidR="0028679F">
        <w:rPr>
          <w:rFonts w:ascii="Times" w:hAnsi="Times"/>
        </w:rPr>
        <w:t xml:space="preserve">correlación </w:t>
      </w:r>
      <w:r>
        <w:rPr>
          <w:rFonts w:ascii="Times" w:hAnsi="Times"/>
        </w:rPr>
        <w:t xml:space="preserve">a su vez es estadísticamente significativa </w:t>
      </w:r>
      <w:r w:rsidR="0028679F">
        <w:rPr>
          <w:rFonts w:ascii="Times" w:hAnsi="Times"/>
        </w:rPr>
        <w:t xml:space="preserve">a un nivel de significancia del 5%. </w:t>
      </w:r>
    </w:p>
    <w:p w14:paraId="23D86110" w14:textId="49C24E43" w:rsidR="0028679F" w:rsidRPr="0028679F" w:rsidRDefault="0028679F" w:rsidP="00CF3BBD">
      <w:pPr>
        <w:pStyle w:val="NormalWeb"/>
        <w:numPr>
          <w:ilvl w:val="1"/>
          <w:numId w:val="10"/>
        </w:numPr>
        <w:jc w:val="both"/>
        <w:rPr>
          <w:rFonts w:ascii="Times" w:hAnsi="Times"/>
        </w:rPr>
      </w:pPr>
      <w:r>
        <w:rPr>
          <w:rFonts w:ascii="Times" w:hAnsi="Times"/>
          <w:i/>
          <w:iCs/>
        </w:rPr>
        <w:t>Efectos diferenciados por regiones</w:t>
      </w:r>
    </w:p>
    <w:p w14:paraId="3E413190" w14:textId="13562FBF" w:rsidR="0028679F" w:rsidRDefault="00786E83" w:rsidP="0028679F">
      <w:pPr>
        <w:pStyle w:val="NormalWeb"/>
        <w:ind w:left="720"/>
        <w:jc w:val="both"/>
        <w:rPr>
          <w:rFonts w:ascii="Times" w:hAnsi="Times"/>
        </w:rPr>
      </w:pPr>
      <w:r>
        <w:rPr>
          <w:rFonts w:ascii="Times" w:hAnsi="Times"/>
        </w:rPr>
        <w:t>Con la finalidad de</w:t>
      </w:r>
      <w:r w:rsidR="0028679F">
        <w:rPr>
          <w:rFonts w:ascii="Times" w:hAnsi="Times"/>
        </w:rPr>
        <w:t xml:space="preserve"> evaluar</w:t>
      </w:r>
      <w:r>
        <w:rPr>
          <w:rFonts w:ascii="Times" w:hAnsi="Times"/>
        </w:rPr>
        <w:t xml:space="preserve"> </w:t>
      </w:r>
      <w:r w:rsidR="0028679F">
        <w:rPr>
          <w:rFonts w:ascii="Times" w:hAnsi="Times"/>
        </w:rPr>
        <w:t>c</w:t>
      </w:r>
      <w:r>
        <w:rPr>
          <w:rFonts w:ascii="Times" w:hAnsi="Times"/>
        </w:rPr>
        <w:t>ó</w:t>
      </w:r>
      <w:r w:rsidR="0028679F">
        <w:rPr>
          <w:rFonts w:ascii="Times" w:hAnsi="Times"/>
        </w:rPr>
        <w:t xml:space="preserve">mo el incremento de los precios afecta de forma diferencia a regiones con diferentes </w:t>
      </w:r>
      <w:r w:rsidR="0028679F" w:rsidRPr="00786E83">
        <w:rPr>
          <w:rFonts w:ascii="Times" w:hAnsi="Times"/>
          <w:b/>
          <w:bCs/>
        </w:rPr>
        <w:t>niveles de producción agrícola</w:t>
      </w:r>
      <w:r w:rsidR="006C7D5E" w:rsidRPr="00786E83">
        <w:rPr>
          <w:rFonts w:ascii="Times" w:hAnsi="Times"/>
          <w:b/>
          <w:bCs/>
        </w:rPr>
        <w:t xml:space="preserve"> (NPA)</w:t>
      </w:r>
      <w:r w:rsidR="0028679F" w:rsidRPr="00786E83">
        <w:rPr>
          <w:rFonts w:ascii="Times" w:hAnsi="Times"/>
        </w:rPr>
        <w:t>,</w:t>
      </w:r>
      <w:r w:rsidR="0028679F">
        <w:rPr>
          <w:rFonts w:ascii="Times" w:hAnsi="Times"/>
        </w:rPr>
        <w:t xml:space="preserve"> estimo el modelo de </w:t>
      </w:r>
      <w:r w:rsidR="0028679F" w:rsidRPr="001E0327">
        <w:rPr>
          <w:rFonts w:ascii="Times" w:hAnsi="Times"/>
          <w:i/>
          <w:iCs/>
        </w:rPr>
        <w:t>diferencias en diferencias</w:t>
      </w:r>
      <w:r w:rsidR="0028679F">
        <w:rPr>
          <w:rFonts w:ascii="Times" w:hAnsi="Times"/>
          <w:i/>
          <w:iCs/>
        </w:rPr>
        <w:t xml:space="preserve">. </w:t>
      </w:r>
      <w:r w:rsidR="0028679F">
        <w:rPr>
          <w:rFonts w:ascii="Times" w:hAnsi="Times"/>
        </w:rPr>
        <w:t xml:space="preserve">Aproximando el análisis de esta hipótesis uso </w:t>
      </w:r>
      <w:proofErr w:type="spellStart"/>
      <w:r w:rsidR="0028679F">
        <w:rPr>
          <w:rFonts w:ascii="Times" w:hAnsi="Times"/>
        </w:rPr>
        <w:t>discretización</w:t>
      </w:r>
      <w:proofErr w:type="spellEnd"/>
      <w:r w:rsidR="0028679F">
        <w:rPr>
          <w:rFonts w:ascii="Times" w:hAnsi="Times"/>
        </w:rPr>
        <w:t xml:space="preserve"> de los grupos esencialmente para ilustrar la </w:t>
      </w:r>
      <w:r w:rsidR="0037551B">
        <w:rPr>
          <w:rFonts w:ascii="Times" w:hAnsi="Times"/>
        </w:rPr>
        <w:t>existencia</w:t>
      </w:r>
      <w:r w:rsidR="0028679F">
        <w:rPr>
          <w:rFonts w:ascii="Times" w:hAnsi="Times"/>
        </w:rPr>
        <w:t xml:space="preserve"> de tendencias paralelas previas al choque de precios, para tal fin divido en dos grupos a las ciudades de la muestra, unos son expuestos de forma leve</w:t>
      </w:r>
      <w:r w:rsidR="006C7D5E">
        <w:rPr>
          <w:rFonts w:ascii="Times" w:hAnsi="Times"/>
        </w:rPr>
        <w:t xml:space="preserve">, es decir su NPA &lt; NPA promedio nacional, análogamente los expuestos de forma moderada, es decir su NPA &gt;  NPA promedio nacional. </w:t>
      </w:r>
    </w:p>
    <w:p w14:paraId="5BEA8509" w14:textId="6A691460" w:rsidR="00BD2865" w:rsidRDefault="00BD2865" w:rsidP="0028679F">
      <w:pPr>
        <w:pStyle w:val="NormalWeb"/>
        <w:ind w:left="720"/>
        <w:jc w:val="both"/>
        <w:rPr>
          <w:rFonts w:ascii="Times" w:hAnsi="Times"/>
        </w:rPr>
      </w:pPr>
      <w:r>
        <w:rPr>
          <w:rFonts w:ascii="Times" w:hAnsi="Times"/>
        </w:rPr>
        <w:t>El grafico 5 ilustra el escenario</w:t>
      </w:r>
      <w:r w:rsidR="00FC1D52">
        <w:rPr>
          <w:rFonts w:ascii="Times" w:hAnsi="Times"/>
        </w:rPr>
        <w:t xml:space="preserve">; </w:t>
      </w:r>
      <w:r>
        <w:rPr>
          <w:rFonts w:ascii="Times" w:hAnsi="Times"/>
        </w:rPr>
        <w:t>regiones</w:t>
      </w:r>
      <w:r w:rsidR="00786E83">
        <w:rPr>
          <w:rFonts w:ascii="Times" w:hAnsi="Times"/>
        </w:rPr>
        <w:t xml:space="preserve">, </w:t>
      </w:r>
      <w:r>
        <w:rPr>
          <w:rFonts w:ascii="Times" w:hAnsi="Times"/>
        </w:rPr>
        <w:t xml:space="preserve">independientemente de su NPA, tienen una tendencia similar en periodos previos al choque de precios de fertilizantes, tomando como periodo base para el choque el inicio de la guerra en ucrania, el cual </w:t>
      </w:r>
      <w:r w:rsidR="0037551B">
        <w:rPr>
          <w:rFonts w:ascii="Times" w:hAnsi="Times"/>
        </w:rPr>
        <w:t>acentuó</w:t>
      </w:r>
      <w:r>
        <w:rPr>
          <w:rFonts w:ascii="Times" w:hAnsi="Times"/>
        </w:rPr>
        <w:t xml:space="preserve"> el incremento de forma significativa. </w:t>
      </w:r>
      <w:r w:rsidR="00FC1D52">
        <w:rPr>
          <w:rFonts w:ascii="Times" w:hAnsi="Times"/>
        </w:rPr>
        <w:t xml:space="preserve">Para </w:t>
      </w:r>
      <w:r>
        <w:rPr>
          <w:rFonts w:ascii="Times" w:hAnsi="Times"/>
        </w:rPr>
        <w:t xml:space="preserve">este periodo </w:t>
      </w:r>
      <w:r w:rsidR="00FC1D52">
        <w:rPr>
          <w:rFonts w:ascii="Times" w:hAnsi="Times"/>
        </w:rPr>
        <w:t>se observa un aumento</w:t>
      </w:r>
      <w:r>
        <w:rPr>
          <w:rFonts w:ascii="Times" w:hAnsi="Times"/>
        </w:rPr>
        <w:t xml:space="preserve"> importante en la inflación </w:t>
      </w:r>
      <w:r w:rsidR="00C90396">
        <w:rPr>
          <w:rFonts w:ascii="Times" w:hAnsi="Times"/>
        </w:rPr>
        <w:t xml:space="preserve">en todas las regiones. El choque movió los precios de los fertilizantes, por consiguiente genero una importante presión inflacionaria principalmente en </w:t>
      </w:r>
      <w:r w:rsidR="00FC1D52">
        <w:rPr>
          <w:rFonts w:ascii="Times" w:hAnsi="Times"/>
        </w:rPr>
        <w:t>l</w:t>
      </w:r>
      <w:r w:rsidR="00C90396">
        <w:rPr>
          <w:rFonts w:ascii="Times" w:hAnsi="Times"/>
        </w:rPr>
        <w:t xml:space="preserve">os alimentos. Luego la </w:t>
      </w:r>
      <w:r w:rsidR="00FC1D52">
        <w:rPr>
          <w:rFonts w:ascii="Times" w:hAnsi="Times"/>
        </w:rPr>
        <w:t>inflación</w:t>
      </w:r>
      <w:r w:rsidR="00C90396">
        <w:rPr>
          <w:rFonts w:ascii="Times" w:hAnsi="Times"/>
        </w:rPr>
        <w:t xml:space="preserve"> tiene </w:t>
      </w:r>
      <w:r w:rsidR="00FC1D52">
        <w:rPr>
          <w:rFonts w:ascii="Times" w:hAnsi="Times"/>
        </w:rPr>
        <w:t xml:space="preserve">es de </w:t>
      </w:r>
      <w:r w:rsidR="00C90396">
        <w:rPr>
          <w:rFonts w:ascii="Times" w:hAnsi="Times"/>
        </w:rPr>
        <w:t xml:space="preserve">tal magnitud que </w:t>
      </w:r>
      <w:r w:rsidR="00FC1D52">
        <w:rPr>
          <w:rFonts w:ascii="Times" w:hAnsi="Times"/>
        </w:rPr>
        <w:t>afecta todos los municipios.</w:t>
      </w:r>
    </w:p>
    <w:p w14:paraId="3D9FF3FF" w14:textId="3C6058FA" w:rsidR="00BD2865" w:rsidRDefault="00BD2865" w:rsidP="00BD2865">
      <w:pPr>
        <w:pStyle w:val="NormalWeb"/>
        <w:jc w:val="both"/>
        <w:rPr>
          <w:rFonts w:ascii="Times" w:hAnsi="Times"/>
        </w:rPr>
      </w:pPr>
    </w:p>
    <w:p w14:paraId="57423268" w14:textId="65E117E8" w:rsidR="00BD2865" w:rsidRPr="002D49D7" w:rsidRDefault="00BD2865" w:rsidP="00BD2865">
      <w:pPr>
        <w:pStyle w:val="NormalWeb"/>
        <w:ind w:left="720"/>
        <w:jc w:val="center"/>
        <w:rPr>
          <w:rFonts w:ascii="Times" w:hAnsi="Times"/>
          <w:sz w:val="20"/>
          <w:szCs w:val="20"/>
        </w:rPr>
      </w:pPr>
      <w:r w:rsidRPr="002D49D7">
        <w:rPr>
          <w:rFonts w:ascii="Times" w:hAnsi="Times"/>
          <w:sz w:val="20"/>
          <w:szCs w:val="20"/>
        </w:rPr>
        <w:lastRenderedPageBreak/>
        <w:t>Grafico 5. Evolución de municipios según su NPA</w:t>
      </w:r>
    </w:p>
    <w:p w14:paraId="24568586" w14:textId="3E01CF84" w:rsidR="006C7D5E" w:rsidRPr="0028679F" w:rsidRDefault="006C7D5E" w:rsidP="00BD2865">
      <w:pPr>
        <w:pStyle w:val="NormalWeb"/>
        <w:ind w:left="720"/>
        <w:jc w:val="center"/>
        <w:rPr>
          <w:rFonts w:ascii="Times" w:hAnsi="Times"/>
        </w:rPr>
      </w:pPr>
      <w:r w:rsidRPr="006C7D5E">
        <w:rPr>
          <w:rFonts w:ascii="Times" w:hAnsi="Times"/>
          <w:noProof/>
        </w:rPr>
        <w:drawing>
          <wp:inline distT="0" distB="0" distL="0" distR="0" wp14:anchorId="6682E1FA" wp14:editId="3EED0EE2">
            <wp:extent cx="4073128" cy="296227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1989" cy="2975992"/>
                    </a:xfrm>
                    <a:prstGeom prst="rect">
                      <a:avLst/>
                    </a:prstGeom>
                  </pic:spPr>
                </pic:pic>
              </a:graphicData>
            </a:graphic>
          </wp:inline>
        </w:drawing>
      </w:r>
    </w:p>
    <w:p w14:paraId="3E75E2CF" w14:textId="37BBC1F8" w:rsidR="0028679F" w:rsidRDefault="00C90396" w:rsidP="00617F07">
      <w:pPr>
        <w:pStyle w:val="NormalWeb"/>
        <w:ind w:left="720"/>
        <w:jc w:val="both"/>
        <w:rPr>
          <w:rFonts w:ascii="Times" w:hAnsi="Times"/>
        </w:rPr>
      </w:pPr>
      <w:r>
        <w:rPr>
          <w:rFonts w:ascii="Times" w:hAnsi="Times"/>
        </w:rPr>
        <w:t xml:space="preserve">Procedo entonces a estimar el modelo de </w:t>
      </w:r>
      <w:r w:rsidRPr="001E0327">
        <w:rPr>
          <w:rFonts w:ascii="Times" w:hAnsi="Times"/>
          <w:i/>
          <w:iCs/>
        </w:rPr>
        <w:t>diferencias en diferencias</w:t>
      </w:r>
      <w:r>
        <w:rPr>
          <w:rFonts w:ascii="Times" w:hAnsi="Times"/>
          <w:i/>
          <w:iCs/>
        </w:rPr>
        <w:t xml:space="preserve"> </w:t>
      </w:r>
      <w:r>
        <w:rPr>
          <w:rFonts w:ascii="Times" w:hAnsi="Times"/>
        </w:rPr>
        <w:t>con nivel de exposición continua. En ese sentido, nos apartamos de la desratización</w:t>
      </w:r>
      <w:r w:rsidR="00630197">
        <w:rPr>
          <w:rFonts w:ascii="Times" w:hAnsi="Times"/>
        </w:rPr>
        <w:t xml:space="preserve"> y usamos el modelo especificado en la ecuación (1) donde se interactúa </w:t>
      </w:r>
      <w:r>
        <w:rPr>
          <w:rFonts w:ascii="Times" w:hAnsi="Times"/>
        </w:rPr>
        <w:t xml:space="preserve"> </w:t>
      </w:r>
      <w:r w:rsidR="00630197">
        <w:rPr>
          <w:rFonts w:ascii="Times" w:hAnsi="Times"/>
        </w:rPr>
        <w:t xml:space="preserve">el precio con el nivel de producción </w:t>
      </w:r>
      <w:r w:rsidR="00340A27">
        <w:rPr>
          <w:rFonts w:ascii="Times" w:hAnsi="Times"/>
        </w:rPr>
        <w:t>agrícola</w:t>
      </w:r>
      <w:r w:rsidR="00630197">
        <w:rPr>
          <w:rFonts w:ascii="Times" w:hAnsi="Times"/>
        </w:rPr>
        <w:t xml:space="preserve"> de la región.</w:t>
      </w:r>
    </w:p>
    <w:p w14:paraId="476D65BB" w14:textId="53F75298" w:rsidR="00340A27" w:rsidRPr="002D49D7" w:rsidRDefault="00340A27" w:rsidP="00340A27">
      <w:pPr>
        <w:pStyle w:val="NormalWeb"/>
        <w:ind w:left="720"/>
        <w:jc w:val="center"/>
        <w:rPr>
          <w:rFonts w:ascii="Times" w:hAnsi="Times"/>
          <w:sz w:val="20"/>
          <w:szCs w:val="20"/>
        </w:rPr>
      </w:pPr>
      <w:r w:rsidRPr="002D49D7">
        <w:rPr>
          <w:rFonts w:ascii="Times" w:hAnsi="Times"/>
          <w:sz w:val="20"/>
          <w:szCs w:val="20"/>
        </w:rPr>
        <w:t>Tabla 2.</w:t>
      </w:r>
    </w:p>
    <w:p w14:paraId="390D1F0F" w14:textId="34686AAC" w:rsidR="00340A27" w:rsidRPr="00340A27" w:rsidRDefault="00340A27" w:rsidP="00340A27">
      <w:pPr>
        <w:pStyle w:val="NormalWeb"/>
        <w:ind w:left="720"/>
        <w:jc w:val="center"/>
        <w:rPr>
          <w:rFonts w:ascii="Times" w:hAnsi="Times"/>
          <w:i/>
          <w:iCs/>
        </w:rPr>
      </w:pPr>
      <w:r>
        <w:rPr>
          <w:rFonts w:ascii="Times" w:hAnsi="Times"/>
          <w:i/>
          <w:iCs/>
        </w:rPr>
        <w:t>Efecto heterogéneo del cambio en precio de fertilizantes.</w:t>
      </w:r>
    </w:p>
    <w:tbl>
      <w:tblPr>
        <w:tblW w:w="0" w:type="auto"/>
        <w:jc w:val="center"/>
        <w:tblLayout w:type="fixed"/>
        <w:tblCellMar>
          <w:left w:w="75" w:type="dxa"/>
          <w:right w:w="75" w:type="dxa"/>
        </w:tblCellMar>
        <w:tblLook w:val="0000" w:firstRow="0" w:lastRow="0" w:firstColumn="0" w:lastColumn="0" w:noHBand="0" w:noVBand="0"/>
      </w:tblPr>
      <w:tblGrid>
        <w:gridCol w:w="3777"/>
        <w:gridCol w:w="3910"/>
      </w:tblGrid>
      <w:tr w:rsidR="00340A27" w14:paraId="7BAF6C09" w14:textId="77777777" w:rsidTr="00340A27">
        <w:trPr>
          <w:trHeight w:val="195"/>
          <w:jc w:val="center"/>
        </w:trPr>
        <w:tc>
          <w:tcPr>
            <w:tcW w:w="3777" w:type="dxa"/>
            <w:tcBorders>
              <w:top w:val="single" w:sz="6" w:space="0" w:color="auto"/>
              <w:left w:val="nil"/>
              <w:bottom w:val="nil"/>
              <w:right w:val="nil"/>
            </w:tcBorders>
          </w:tcPr>
          <w:p w14:paraId="67727748" w14:textId="77777777" w:rsidR="00340A27" w:rsidRDefault="00340A27" w:rsidP="007557F8">
            <w:pPr>
              <w:widowControl w:val="0"/>
              <w:autoSpaceDE w:val="0"/>
              <w:autoSpaceDN w:val="0"/>
              <w:adjustRightInd w:val="0"/>
              <w:rPr>
                <w:lang w:val="es-ES_tradnl"/>
              </w:rPr>
            </w:pPr>
          </w:p>
        </w:tc>
        <w:tc>
          <w:tcPr>
            <w:tcW w:w="3910" w:type="dxa"/>
            <w:tcBorders>
              <w:top w:val="single" w:sz="6" w:space="0" w:color="auto"/>
              <w:left w:val="nil"/>
              <w:bottom w:val="nil"/>
              <w:right w:val="nil"/>
            </w:tcBorders>
          </w:tcPr>
          <w:p w14:paraId="2D56F2DA" w14:textId="77777777" w:rsidR="00340A27" w:rsidRDefault="00340A27" w:rsidP="007557F8">
            <w:pPr>
              <w:widowControl w:val="0"/>
              <w:autoSpaceDE w:val="0"/>
              <w:autoSpaceDN w:val="0"/>
              <w:adjustRightInd w:val="0"/>
              <w:jc w:val="center"/>
              <w:rPr>
                <w:lang w:val="es-ES_tradnl"/>
              </w:rPr>
            </w:pPr>
            <w:r>
              <w:rPr>
                <w:lang w:val="es-ES_tradnl"/>
              </w:rPr>
              <w:t>(1)</w:t>
            </w:r>
          </w:p>
        </w:tc>
      </w:tr>
      <w:tr w:rsidR="00340A27" w14:paraId="3BDDA668" w14:textId="77777777" w:rsidTr="00340A27">
        <w:trPr>
          <w:trHeight w:val="400"/>
          <w:jc w:val="center"/>
        </w:trPr>
        <w:tc>
          <w:tcPr>
            <w:tcW w:w="3777" w:type="dxa"/>
            <w:tcBorders>
              <w:top w:val="nil"/>
              <w:left w:val="nil"/>
              <w:bottom w:val="single" w:sz="6" w:space="0" w:color="auto"/>
              <w:right w:val="nil"/>
            </w:tcBorders>
          </w:tcPr>
          <w:p w14:paraId="13D0831E" w14:textId="77777777" w:rsidR="00340A27" w:rsidRDefault="00340A27" w:rsidP="007557F8">
            <w:pPr>
              <w:widowControl w:val="0"/>
              <w:autoSpaceDE w:val="0"/>
              <w:autoSpaceDN w:val="0"/>
              <w:adjustRightInd w:val="0"/>
              <w:rPr>
                <w:lang w:val="es-ES_tradnl"/>
              </w:rPr>
            </w:pPr>
            <w:proofErr w:type="spellStart"/>
            <w:r>
              <w:rPr>
                <w:lang w:val="es-ES_tradnl"/>
              </w:rPr>
              <w:t>Dependent</w:t>
            </w:r>
            <w:proofErr w:type="spellEnd"/>
            <w:r>
              <w:rPr>
                <w:lang w:val="es-ES_tradnl"/>
              </w:rPr>
              <w:t xml:space="preserve"> Variables</w:t>
            </w:r>
          </w:p>
        </w:tc>
        <w:tc>
          <w:tcPr>
            <w:tcW w:w="3910" w:type="dxa"/>
            <w:tcBorders>
              <w:top w:val="nil"/>
              <w:left w:val="nil"/>
              <w:bottom w:val="single" w:sz="6" w:space="0" w:color="auto"/>
              <w:right w:val="nil"/>
            </w:tcBorders>
          </w:tcPr>
          <w:p w14:paraId="4142D477" w14:textId="77777777" w:rsidR="00340A27" w:rsidRDefault="00340A27" w:rsidP="007557F8">
            <w:pPr>
              <w:widowControl w:val="0"/>
              <w:autoSpaceDE w:val="0"/>
              <w:autoSpaceDN w:val="0"/>
              <w:adjustRightInd w:val="0"/>
              <w:jc w:val="center"/>
              <w:rPr>
                <w:lang w:val="es-ES_tradnl"/>
              </w:rPr>
            </w:pPr>
            <w:r>
              <w:rPr>
                <w:lang w:val="es-ES_tradnl"/>
              </w:rPr>
              <w:t>IPC_Acumulado</w:t>
            </w:r>
          </w:p>
        </w:tc>
      </w:tr>
      <w:tr w:rsidR="00340A27" w14:paraId="77DCD8AE" w14:textId="77777777" w:rsidTr="00340A27">
        <w:trPr>
          <w:trHeight w:val="205"/>
          <w:jc w:val="center"/>
        </w:trPr>
        <w:tc>
          <w:tcPr>
            <w:tcW w:w="3777" w:type="dxa"/>
            <w:tcBorders>
              <w:top w:val="nil"/>
              <w:left w:val="nil"/>
              <w:bottom w:val="nil"/>
              <w:right w:val="nil"/>
            </w:tcBorders>
          </w:tcPr>
          <w:p w14:paraId="4145C111" w14:textId="77777777" w:rsidR="00340A27" w:rsidRDefault="00340A27" w:rsidP="007557F8">
            <w:pPr>
              <w:widowControl w:val="0"/>
              <w:autoSpaceDE w:val="0"/>
              <w:autoSpaceDN w:val="0"/>
              <w:adjustRightInd w:val="0"/>
              <w:rPr>
                <w:lang w:val="es-ES_tradnl"/>
              </w:rPr>
            </w:pPr>
          </w:p>
        </w:tc>
        <w:tc>
          <w:tcPr>
            <w:tcW w:w="3910" w:type="dxa"/>
            <w:tcBorders>
              <w:top w:val="nil"/>
              <w:left w:val="nil"/>
              <w:bottom w:val="nil"/>
              <w:right w:val="nil"/>
            </w:tcBorders>
          </w:tcPr>
          <w:p w14:paraId="2C0C887C" w14:textId="77777777" w:rsidR="00340A27" w:rsidRDefault="00340A27" w:rsidP="007557F8">
            <w:pPr>
              <w:widowControl w:val="0"/>
              <w:autoSpaceDE w:val="0"/>
              <w:autoSpaceDN w:val="0"/>
              <w:adjustRightInd w:val="0"/>
              <w:jc w:val="center"/>
              <w:rPr>
                <w:lang w:val="es-ES_tradnl"/>
              </w:rPr>
            </w:pPr>
          </w:p>
        </w:tc>
      </w:tr>
      <w:tr w:rsidR="00340A27" w14:paraId="45A50AB7" w14:textId="77777777" w:rsidTr="00340A27">
        <w:trPr>
          <w:trHeight w:val="195"/>
          <w:jc w:val="center"/>
        </w:trPr>
        <w:tc>
          <w:tcPr>
            <w:tcW w:w="3777" w:type="dxa"/>
            <w:tcBorders>
              <w:top w:val="nil"/>
              <w:left w:val="nil"/>
              <w:bottom w:val="nil"/>
              <w:right w:val="nil"/>
            </w:tcBorders>
          </w:tcPr>
          <w:p w14:paraId="6E719108" w14:textId="77777777" w:rsidR="00340A27" w:rsidRDefault="00340A27" w:rsidP="007557F8">
            <w:pPr>
              <w:widowControl w:val="0"/>
              <w:autoSpaceDE w:val="0"/>
              <w:autoSpaceDN w:val="0"/>
              <w:adjustRightInd w:val="0"/>
              <w:rPr>
                <w:lang w:val="es-ES_tradnl"/>
              </w:rPr>
            </w:pPr>
            <w:r>
              <w:rPr>
                <w:lang w:val="es-ES_tradnl"/>
              </w:rPr>
              <w:t>NPA x Precio Fertilizantes</w:t>
            </w:r>
          </w:p>
        </w:tc>
        <w:tc>
          <w:tcPr>
            <w:tcW w:w="3910" w:type="dxa"/>
            <w:tcBorders>
              <w:top w:val="nil"/>
              <w:left w:val="nil"/>
              <w:bottom w:val="nil"/>
              <w:right w:val="nil"/>
            </w:tcBorders>
          </w:tcPr>
          <w:p w14:paraId="15D5C9A2" w14:textId="77777777" w:rsidR="00340A27" w:rsidRDefault="00340A27" w:rsidP="007557F8">
            <w:pPr>
              <w:widowControl w:val="0"/>
              <w:autoSpaceDE w:val="0"/>
              <w:autoSpaceDN w:val="0"/>
              <w:adjustRightInd w:val="0"/>
              <w:jc w:val="center"/>
              <w:rPr>
                <w:lang w:val="es-ES_tradnl"/>
              </w:rPr>
            </w:pPr>
            <w:r>
              <w:rPr>
                <w:lang w:val="es-ES_tradnl"/>
              </w:rPr>
              <w:t>-0.0184**</w:t>
            </w:r>
          </w:p>
        </w:tc>
      </w:tr>
      <w:tr w:rsidR="00340A27" w14:paraId="716B770F" w14:textId="77777777" w:rsidTr="00340A27">
        <w:trPr>
          <w:trHeight w:val="195"/>
          <w:jc w:val="center"/>
        </w:trPr>
        <w:tc>
          <w:tcPr>
            <w:tcW w:w="3777" w:type="dxa"/>
            <w:tcBorders>
              <w:top w:val="nil"/>
              <w:left w:val="nil"/>
              <w:bottom w:val="nil"/>
              <w:right w:val="nil"/>
            </w:tcBorders>
          </w:tcPr>
          <w:p w14:paraId="6798F787" w14:textId="77777777" w:rsidR="00340A27" w:rsidRDefault="00340A27" w:rsidP="007557F8">
            <w:pPr>
              <w:widowControl w:val="0"/>
              <w:autoSpaceDE w:val="0"/>
              <w:autoSpaceDN w:val="0"/>
              <w:adjustRightInd w:val="0"/>
              <w:rPr>
                <w:lang w:val="es-ES_tradnl"/>
              </w:rPr>
            </w:pPr>
          </w:p>
        </w:tc>
        <w:tc>
          <w:tcPr>
            <w:tcW w:w="3910" w:type="dxa"/>
            <w:tcBorders>
              <w:top w:val="nil"/>
              <w:left w:val="nil"/>
              <w:bottom w:val="nil"/>
              <w:right w:val="nil"/>
            </w:tcBorders>
          </w:tcPr>
          <w:p w14:paraId="725CE934" w14:textId="77777777" w:rsidR="00340A27" w:rsidRDefault="00340A27" w:rsidP="007557F8">
            <w:pPr>
              <w:widowControl w:val="0"/>
              <w:autoSpaceDE w:val="0"/>
              <w:autoSpaceDN w:val="0"/>
              <w:adjustRightInd w:val="0"/>
              <w:jc w:val="center"/>
              <w:rPr>
                <w:lang w:val="es-ES_tradnl"/>
              </w:rPr>
            </w:pPr>
            <w:r>
              <w:rPr>
                <w:lang w:val="es-ES_tradnl"/>
              </w:rPr>
              <w:t>(0.00809)</w:t>
            </w:r>
          </w:p>
        </w:tc>
      </w:tr>
      <w:tr w:rsidR="00340A27" w14:paraId="335D2ECC" w14:textId="77777777" w:rsidTr="00340A27">
        <w:trPr>
          <w:trHeight w:val="205"/>
          <w:jc w:val="center"/>
        </w:trPr>
        <w:tc>
          <w:tcPr>
            <w:tcW w:w="3777" w:type="dxa"/>
            <w:tcBorders>
              <w:top w:val="nil"/>
              <w:left w:val="nil"/>
              <w:bottom w:val="nil"/>
              <w:right w:val="nil"/>
            </w:tcBorders>
          </w:tcPr>
          <w:p w14:paraId="42C36E5D" w14:textId="77777777" w:rsidR="00340A27" w:rsidRDefault="00340A27" w:rsidP="007557F8">
            <w:pPr>
              <w:widowControl w:val="0"/>
              <w:autoSpaceDE w:val="0"/>
              <w:autoSpaceDN w:val="0"/>
              <w:adjustRightInd w:val="0"/>
              <w:rPr>
                <w:lang w:val="es-ES_tradnl"/>
              </w:rPr>
            </w:pPr>
            <w:r>
              <w:rPr>
                <w:lang w:val="es-ES_tradnl"/>
              </w:rPr>
              <w:t>Constant</w:t>
            </w:r>
          </w:p>
        </w:tc>
        <w:tc>
          <w:tcPr>
            <w:tcW w:w="3910" w:type="dxa"/>
            <w:tcBorders>
              <w:top w:val="nil"/>
              <w:left w:val="nil"/>
              <w:bottom w:val="nil"/>
              <w:right w:val="nil"/>
            </w:tcBorders>
          </w:tcPr>
          <w:p w14:paraId="5E6DBF9F" w14:textId="77777777" w:rsidR="00340A27" w:rsidRDefault="00340A27" w:rsidP="007557F8">
            <w:pPr>
              <w:widowControl w:val="0"/>
              <w:autoSpaceDE w:val="0"/>
              <w:autoSpaceDN w:val="0"/>
              <w:adjustRightInd w:val="0"/>
              <w:jc w:val="center"/>
              <w:rPr>
                <w:lang w:val="es-ES_tradnl"/>
              </w:rPr>
            </w:pPr>
            <w:r>
              <w:rPr>
                <w:lang w:val="es-ES_tradnl"/>
              </w:rPr>
              <w:t>4.951***</w:t>
            </w:r>
          </w:p>
        </w:tc>
      </w:tr>
      <w:tr w:rsidR="00340A27" w14:paraId="24072053" w14:textId="77777777" w:rsidTr="00340A27">
        <w:trPr>
          <w:trHeight w:val="195"/>
          <w:jc w:val="center"/>
        </w:trPr>
        <w:tc>
          <w:tcPr>
            <w:tcW w:w="3777" w:type="dxa"/>
            <w:tcBorders>
              <w:top w:val="nil"/>
              <w:left w:val="nil"/>
              <w:bottom w:val="nil"/>
              <w:right w:val="nil"/>
            </w:tcBorders>
          </w:tcPr>
          <w:p w14:paraId="18D92180" w14:textId="77777777" w:rsidR="00340A27" w:rsidRDefault="00340A27" w:rsidP="007557F8">
            <w:pPr>
              <w:widowControl w:val="0"/>
              <w:autoSpaceDE w:val="0"/>
              <w:autoSpaceDN w:val="0"/>
              <w:adjustRightInd w:val="0"/>
              <w:rPr>
                <w:lang w:val="es-ES_tradnl"/>
              </w:rPr>
            </w:pPr>
          </w:p>
        </w:tc>
        <w:tc>
          <w:tcPr>
            <w:tcW w:w="3910" w:type="dxa"/>
            <w:tcBorders>
              <w:top w:val="nil"/>
              <w:left w:val="nil"/>
              <w:bottom w:val="nil"/>
              <w:right w:val="nil"/>
            </w:tcBorders>
          </w:tcPr>
          <w:p w14:paraId="5CE6F9B9" w14:textId="77777777" w:rsidR="00340A27" w:rsidRDefault="00340A27" w:rsidP="007557F8">
            <w:pPr>
              <w:widowControl w:val="0"/>
              <w:autoSpaceDE w:val="0"/>
              <w:autoSpaceDN w:val="0"/>
              <w:adjustRightInd w:val="0"/>
              <w:jc w:val="center"/>
              <w:rPr>
                <w:lang w:val="es-ES_tradnl"/>
              </w:rPr>
            </w:pPr>
            <w:r>
              <w:rPr>
                <w:lang w:val="es-ES_tradnl"/>
              </w:rPr>
              <w:t>(0.134)</w:t>
            </w:r>
          </w:p>
        </w:tc>
      </w:tr>
      <w:tr w:rsidR="00340A27" w14:paraId="67134587" w14:textId="77777777" w:rsidTr="00340A27">
        <w:trPr>
          <w:trHeight w:val="205"/>
          <w:jc w:val="center"/>
        </w:trPr>
        <w:tc>
          <w:tcPr>
            <w:tcW w:w="3777" w:type="dxa"/>
            <w:tcBorders>
              <w:top w:val="nil"/>
              <w:left w:val="nil"/>
              <w:bottom w:val="nil"/>
              <w:right w:val="nil"/>
            </w:tcBorders>
          </w:tcPr>
          <w:p w14:paraId="406FDC21" w14:textId="77777777" w:rsidR="00340A27" w:rsidRDefault="00340A27" w:rsidP="007557F8">
            <w:pPr>
              <w:widowControl w:val="0"/>
              <w:autoSpaceDE w:val="0"/>
              <w:autoSpaceDN w:val="0"/>
              <w:adjustRightInd w:val="0"/>
              <w:rPr>
                <w:lang w:val="es-ES_tradnl"/>
              </w:rPr>
            </w:pPr>
          </w:p>
        </w:tc>
        <w:tc>
          <w:tcPr>
            <w:tcW w:w="3910" w:type="dxa"/>
            <w:tcBorders>
              <w:top w:val="nil"/>
              <w:left w:val="nil"/>
              <w:bottom w:val="nil"/>
              <w:right w:val="nil"/>
            </w:tcBorders>
          </w:tcPr>
          <w:p w14:paraId="1E5CBEDF" w14:textId="77777777" w:rsidR="00340A27" w:rsidRDefault="00340A27" w:rsidP="007557F8">
            <w:pPr>
              <w:widowControl w:val="0"/>
              <w:autoSpaceDE w:val="0"/>
              <w:autoSpaceDN w:val="0"/>
              <w:adjustRightInd w:val="0"/>
              <w:jc w:val="center"/>
              <w:rPr>
                <w:lang w:val="es-ES_tradnl"/>
              </w:rPr>
            </w:pPr>
          </w:p>
        </w:tc>
      </w:tr>
      <w:tr w:rsidR="00340A27" w14:paraId="6B8BC376" w14:textId="77777777" w:rsidTr="00340A27">
        <w:trPr>
          <w:trHeight w:val="195"/>
          <w:jc w:val="center"/>
        </w:trPr>
        <w:tc>
          <w:tcPr>
            <w:tcW w:w="3777" w:type="dxa"/>
            <w:tcBorders>
              <w:top w:val="nil"/>
              <w:left w:val="nil"/>
              <w:bottom w:val="nil"/>
              <w:right w:val="nil"/>
            </w:tcBorders>
          </w:tcPr>
          <w:p w14:paraId="695F480C" w14:textId="77777777" w:rsidR="00340A27" w:rsidRDefault="00340A27" w:rsidP="007557F8">
            <w:pPr>
              <w:widowControl w:val="0"/>
              <w:autoSpaceDE w:val="0"/>
              <w:autoSpaceDN w:val="0"/>
              <w:adjustRightInd w:val="0"/>
              <w:rPr>
                <w:lang w:val="es-ES_tradnl"/>
              </w:rPr>
            </w:pPr>
            <w:r>
              <w:rPr>
                <w:lang w:val="es-ES_tradnl"/>
              </w:rPr>
              <w:t>Observations</w:t>
            </w:r>
          </w:p>
        </w:tc>
        <w:tc>
          <w:tcPr>
            <w:tcW w:w="3910" w:type="dxa"/>
            <w:tcBorders>
              <w:top w:val="nil"/>
              <w:left w:val="nil"/>
              <w:bottom w:val="nil"/>
              <w:right w:val="nil"/>
            </w:tcBorders>
          </w:tcPr>
          <w:p w14:paraId="075BE5CE" w14:textId="77777777" w:rsidR="00340A27" w:rsidRDefault="00340A27" w:rsidP="007557F8">
            <w:pPr>
              <w:widowControl w:val="0"/>
              <w:autoSpaceDE w:val="0"/>
              <w:autoSpaceDN w:val="0"/>
              <w:adjustRightInd w:val="0"/>
              <w:jc w:val="center"/>
              <w:rPr>
                <w:lang w:val="es-ES_tradnl"/>
              </w:rPr>
            </w:pPr>
            <w:r>
              <w:rPr>
                <w:lang w:val="es-ES_tradnl"/>
              </w:rPr>
              <w:t>1,012</w:t>
            </w:r>
          </w:p>
        </w:tc>
      </w:tr>
      <w:tr w:rsidR="00340A27" w14:paraId="62072CA4" w14:textId="77777777" w:rsidTr="00340A27">
        <w:tblPrEx>
          <w:tblBorders>
            <w:bottom w:val="single" w:sz="6" w:space="0" w:color="auto"/>
          </w:tblBorders>
        </w:tblPrEx>
        <w:trPr>
          <w:trHeight w:val="195"/>
          <w:jc w:val="center"/>
        </w:trPr>
        <w:tc>
          <w:tcPr>
            <w:tcW w:w="3777" w:type="dxa"/>
            <w:tcBorders>
              <w:top w:val="nil"/>
              <w:left w:val="nil"/>
              <w:bottom w:val="single" w:sz="6" w:space="0" w:color="auto"/>
              <w:right w:val="nil"/>
            </w:tcBorders>
          </w:tcPr>
          <w:p w14:paraId="6BD66579" w14:textId="77777777" w:rsidR="00340A27" w:rsidRDefault="00340A27" w:rsidP="007557F8">
            <w:pPr>
              <w:widowControl w:val="0"/>
              <w:autoSpaceDE w:val="0"/>
              <w:autoSpaceDN w:val="0"/>
              <w:adjustRightInd w:val="0"/>
              <w:rPr>
                <w:lang w:val="es-ES_tradnl"/>
              </w:rPr>
            </w:pPr>
            <w:r>
              <w:rPr>
                <w:lang w:val="es-ES_tradnl"/>
              </w:rPr>
              <w:t>R-</w:t>
            </w:r>
            <w:proofErr w:type="spellStart"/>
            <w:r>
              <w:rPr>
                <w:lang w:val="es-ES_tradnl"/>
              </w:rPr>
              <w:t>squared</w:t>
            </w:r>
            <w:proofErr w:type="spellEnd"/>
          </w:p>
        </w:tc>
        <w:tc>
          <w:tcPr>
            <w:tcW w:w="3910" w:type="dxa"/>
            <w:tcBorders>
              <w:top w:val="nil"/>
              <w:left w:val="nil"/>
              <w:bottom w:val="single" w:sz="6" w:space="0" w:color="auto"/>
              <w:right w:val="nil"/>
            </w:tcBorders>
          </w:tcPr>
          <w:p w14:paraId="1AFFCA78" w14:textId="77777777" w:rsidR="00340A27" w:rsidRDefault="00340A27" w:rsidP="007557F8">
            <w:pPr>
              <w:widowControl w:val="0"/>
              <w:autoSpaceDE w:val="0"/>
              <w:autoSpaceDN w:val="0"/>
              <w:adjustRightInd w:val="0"/>
              <w:jc w:val="center"/>
              <w:rPr>
                <w:lang w:val="es-ES_tradnl"/>
              </w:rPr>
            </w:pPr>
            <w:r>
              <w:rPr>
                <w:lang w:val="es-ES_tradnl"/>
              </w:rPr>
              <w:t>0.925</w:t>
            </w:r>
          </w:p>
        </w:tc>
      </w:tr>
    </w:tbl>
    <w:p w14:paraId="0577E354" w14:textId="23E57381" w:rsidR="00340A27" w:rsidRDefault="00340A27" w:rsidP="00FC1D52">
      <w:pPr>
        <w:pStyle w:val="NormalWeb"/>
        <w:ind w:left="720"/>
        <w:jc w:val="both"/>
        <w:rPr>
          <w:rFonts w:ascii="Times" w:hAnsi="Times"/>
        </w:rPr>
      </w:pPr>
      <w:r>
        <w:rPr>
          <w:rFonts w:ascii="Times" w:hAnsi="Times"/>
        </w:rPr>
        <w:t xml:space="preserve">La tabla 2 </w:t>
      </w:r>
      <w:r w:rsidR="00FC1D52">
        <w:rPr>
          <w:rFonts w:ascii="Times" w:hAnsi="Times"/>
        </w:rPr>
        <w:t>estima</w:t>
      </w:r>
      <w:r>
        <w:rPr>
          <w:rFonts w:ascii="Times" w:hAnsi="Times"/>
        </w:rPr>
        <w:t xml:space="preserve"> e</w:t>
      </w:r>
      <w:r w:rsidR="002209CE">
        <w:rPr>
          <w:rFonts w:ascii="Times" w:hAnsi="Times"/>
        </w:rPr>
        <w:t xml:space="preserve">l </w:t>
      </w:r>
      <w:r>
        <w:rPr>
          <w:rFonts w:ascii="Times" w:hAnsi="Times"/>
        </w:rPr>
        <w:t>modelo</w:t>
      </w:r>
      <w:r w:rsidR="002209CE">
        <w:rPr>
          <w:rFonts w:ascii="Times" w:hAnsi="Times"/>
        </w:rPr>
        <w:t xml:space="preserve"> en la ecuación (1) </w:t>
      </w:r>
      <w:r w:rsidR="00FC1D52">
        <w:rPr>
          <w:rFonts w:ascii="Times" w:hAnsi="Times"/>
        </w:rPr>
        <w:t xml:space="preserve">que </w:t>
      </w:r>
      <w:r w:rsidR="0037551B">
        <w:rPr>
          <w:rFonts w:ascii="Times" w:hAnsi="Times"/>
        </w:rPr>
        <w:t>evalúa</w:t>
      </w:r>
      <w:r>
        <w:rPr>
          <w:rFonts w:ascii="Times" w:hAnsi="Times"/>
        </w:rPr>
        <w:t xml:space="preserve"> el efecto diferencial del cambio en precios</w:t>
      </w:r>
      <w:r w:rsidR="002209CE">
        <w:rPr>
          <w:rFonts w:ascii="Times" w:hAnsi="Times"/>
        </w:rPr>
        <w:t xml:space="preserve"> según regiones, por tanto da el resultado de </w:t>
      </w:r>
      <m:oMath>
        <m:r>
          <w:rPr>
            <w:rFonts w:ascii="Cambria Math" w:hAnsi="Cambria Math"/>
          </w:rPr>
          <m:t xml:space="preserve">λ, </m:t>
        </m:r>
      </m:oMath>
      <w:r w:rsidR="002209CE">
        <w:rPr>
          <w:rFonts w:ascii="Times" w:hAnsi="Times"/>
        </w:rPr>
        <w:t xml:space="preserve"> el parámetro de interés. </w:t>
      </w:r>
      <w:r w:rsidR="00FC1D52">
        <w:rPr>
          <w:rFonts w:ascii="Times" w:hAnsi="Times"/>
        </w:rPr>
        <w:t>E</w:t>
      </w:r>
      <w:r w:rsidR="002209CE">
        <w:rPr>
          <w:rFonts w:ascii="Times" w:hAnsi="Times"/>
        </w:rPr>
        <w:t xml:space="preserve">l efecto diferencial del cambio en precios es significativo al 5% por consiguiente no es posible rechazar la hipótesis nula de que el coeficiente </w:t>
      </w:r>
      <m:oMath>
        <m:r>
          <w:rPr>
            <w:rFonts w:ascii="Cambria Math" w:hAnsi="Cambria Math"/>
          </w:rPr>
          <m:t xml:space="preserve">λ </m:t>
        </m:r>
      </m:oMath>
      <w:r w:rsidR="002209CE">
        <w:rPr>
          <w:rFonts w:ascii="Times" w:hAnsi="Times"/>
        </w:rPr>
        <w:t>sea igual a cero. En consecuencia, se esta dando evidencia en favor</w:t>
      </w:r>
      <w:r w:rsidR="00FC1D52">
        <w:rPr>
          <w:rFonts w:ascii="Times" w:hAnsi="Times"/>
        </w:rPr>
        <w:t xml:space="preserve"> de</w:t>
      </w:r>
      <w:r w:rsidR="002209CE">
        <w:rPr>
          <w:rFonts w:ascii="Times" w:hAnsi="Times"/>
        </w:rPr>
        <w:t xml:space="preserve"> la hipótesis planteada en este trabajo</w:t>
      </w:r>
      <w:r w:rsidR="00895F96">
        <w:rPr>
          <w:rFonts w:ascii="Times" w:hAnsi="Times"/>
        </w:rPr>
        <w:t xml:space="preserve">. El modelo permite </w:t>
      </w:r>
      <w:r w:rsidR="00895F96">
        <w:rPr>
          <w:rFonts w:ascii="Times" w:hAnsi="Times"/>
        </w:rPr>
        <w:lastRenderedPageBreak/>
        <w:t xml:space="preserve">observar que regiones con niveles altos de producción agrícola tienen un </w:t>
      </w:r>
      <w:r w:rsidR="00EF1CFE">
        <w:rPr>
          <w:rFonts w:ascii="Times" w:hAnsi="Times"/>
        </w:rPr>
        <w:t xml:space="preserve">incremento en la inflación 0.018 </w:t>
      </w:r>
      <w:proofErr w:type="spellStart"/>
      <w:r w:rsidR="00EF1CFE">
        <w:rPr>
          <w:rFonts w:ascii="Times" w:hAnsi="Times"/>
        </w:rPr>
        <w:t>pp</w:t>
      </w:r>
      <w:proofErr w:type="spellEnd"/>
      <w:r w:rsidR="00EF1CFE">
        <w:rPr>
          <w:rFonts w:ascii="Times" w:hAnsi="Times"/>
        </w:rPr>
        <w:t xml:space="preserve"> menor que en </w:t>
      </w:r>
      <w:r w:rsidR="00786E83">
        <w:rPr>
          <w:rFonts w:ascii="Times" w:hAnsi="Times"/>
        </w:rPr>
        <w:t>las regiones</w:t>
      </w:r>
      <w:r w:rsidR="00EF1CFE">
        <w:rPr>
          <w:rFonts w:ascii="Times" w:hAnsi="Times"/>
        </w:rPr>
        <w:t xml:space="preserve"> que se podrían definir como no-</w:t>
      </w:r>
      <w:r w:rsidR="0037551B">
        <w:rPr>
          <w:rFonts w:ascii="Times" w:hAnsi="Times"/>
        </w:rPr>
        <w:t>agrícolas</w:t>
      </w:r>
      <w:r w:rsidR="00EF1CFE">
        <w:rPr>
          <w:rFonts w:ascii="Times" w:hAnsi="Times"/>
        </w:rPr>
        <w:t xml:space="preserve">. </w:t>
      </w:r>
    </w:p>
    <w:p w14:paraId="2DD1B078" w14:textId="45B5A063" w:rsidR="00EF1CFE" w:rsidRDefault="00FC1D52" w:rsidP="00617F07">
      <w:pPr>
        <w:pStyle w:val="NormalWeb"/>
        <w:ind w:left="720"/>
        <w:jc w:val="both"/>
        <w:rPr>
          <w:rFonts w:ascii="Times" w:hAnsi="Times"/>
        </w:rPr>
      </w:pPr>
      <w:r>
        <w:rPr>
          <w:rFonts w:ascii="Times" w:hAnsi="Times"/>
        </w:rPr>
        <w:t>Regiones</w:t>
      </w:r>
      <w:r w:rsidR="00EF1CFE">
        <w:rPr>
          <w:rFonts w:ascii="Times" w:hAnsi="Times"/>
        </w:rPr>
        <w:t xml:space="preserve"> donde no hay producción de alimentos reciben un impacto mayor como consecuencia de choques que afect</w:t>
      </w:r>
      <w:r>
        <w:rPr>
          <w:rFonts w:ascii="Times" w:hAnsi="Times"/>
        </w:rPr>
        <w:t>a</w:t>
      </w:r>
      <w:r w:rsidR="00EF1CFE">
        <w:rPr>
          <w:rFonts w:ascii="Times" w:hAnsi="Times"/>
        </w:rPr>
        <w:t xml:space="preserve">n el precio de los alimentos, que puede estar explicado por la distancia, la menor oferta de alimentos en esas regiones o su posible </w:t>
      </w:r>
      <w:r w:rsidR="0006089F">
        <w:rPr>
          <w:rFonts w:ascii="Times" w:hAnsi="Times"/>
        </w:rPr>
        <w:t>escases</w:t>
      </w:r>
      <w:r w:rsidR="00901647">
        <w:rPr>
          <w:rFonts w:ascii="Times" w:hAnsi="Times"/>
        </w:rPr>
        <w:t>,</w:t>
      </w:r>
      <w:r w:rsidR="00EF1CFE">
        <w:rPr>
          <w:rFonts w:ascii="Times" w:hAnsi="Times"/>
        </w:rPr>
        <w:t xml:space="preserve"> dado que regiones productoras priorizan su consumo interno y además acceden a estos productos a precios que aun no están inflados por costos de transporte, intermediación, entre otros.</w:t>
      </w:r>
    </w:p>
    <w:p w14:paraId="59660832" w14:textId="4D4CC505" w:rsidR="0006089F" w:rsidRDefault="0006089F" w:rsidP="0006089F">
      <w:pPr>
        <w:pStyle w:val="NormalWeb"/>
        <w:numPr>
          <w:ilvl w:val="0"/>
          <w:numId w:val="10"/>
        </w:numPr>
        <w:jc w:val="center"/>
        <w:rPr>
          <w:rFonts w:ascii="Times" w:hAnsi="Times"/>
          <w:lang w:val="en-US"/>
        </w:rPr>
      </w:pPr>
      <w:r>
        <w:rPr>
          <w:rFonts w:ascii="Times" w:hAnsi="Times"/>
          <w:lang w:val="en-US"/>
        </w:rPr>
        <w:t>CONCLUSIONES Y RECOMENDACIONES</w:t>
      </w:r>
    </w:p>
    <w:p w14:paraId="4840DD80" w14:textId="01587ADB" w:rsidR="006B46B8" w:rsidRDefault="00CA7A54" w:rsidP="00AC4406">
      <w:pPr>
        <w:pStyle w:val="NormalWeb"/>
        <w:ind w:left="360"/>
        <w:jc w:val="both"/>
        <w:rPr>
          <w:rFonts w:ascii="Times" w:hAnsi="Times"/>
        </w:rPr>
      </w:pPr>
      <w:r>
        <w:rPr>
          <w:rFonts w:ascii="Times" w:hAnsi="Times"/>
        </w:rPr>
        <w:t>Las resultados de las estimaci</w:t>
      </w:r>
      <w:r w:rsidR="00901647">
        <w:rPr>
          <w:rFonts w:ascii="Times" w:hAnsi="Times"/>
        </w:rPr>
        <w:t>ones</w:t>
      </w:r>
      <w:r>
        <w:rPr>
          <w:rFonts w:ascii="Times" w:hAnsi="Times"/>
        </w:rPr>
        <w:t xml:space="preserve"> permiten concluir que, </w:t>
      </w:r>
      <w:r w:rsidR="00402E60">
        <w:rPr>
          <w:rFonts w:ascii="Times" w:hAnsi="Times"/>
        </w:rPr>
        <w:t>siguiendo</w:t>
      </w:r>
      <w:r>
        <w:rPr>
          <w:rFonts w:ascii="Times" w:hAnsi="Times"/>
        </w:rPr>
        <w:t xml:space="preserve"> la pregunta de investigación, los precios de los fertilizantes tienen un efecto importante y existe correlación fuerte de estos sobre la inflación.</w:t>
      </w:r>
      <w:r w:rsidR="00402E60">
        <w:rPr>
          <w:rFonts w:ascii="Times" w:hAnsi="Times"/>
        </w:rPr>
        <w:t xml:space="preserve"> Aunque</w:t>
      </w:r>
      <w:r w:rsidR="006B46B8">
        <w:rPr>
          <w:rFonts w:ascii="Times" w:hAnsi="Times"/>
        </w:rPr>
        <w:t xml:space="preserve"> es claro que existen otros mecanismos adicionales que jalonan la inflación, incremento en precios de los fertilizantes,</w:t>
      </w:r>
      <w:r w:rsidR="00402E60">
        <w:rPr>
          <w:rFonts w:ascii="Times" w:hAnsi="Times"/>
        </w:rPr>
        <w:t xml:space="preserve"> acentúan la inflación en todas las regiones del país.</w:t>
      </w:r>
    </w:p>
    <w:p w14:paraId="38BB4000" w14:textId="3FDD9118" w:rsidR="006B46B8" w:rsidRDefault="00402E60" w:rsidP="00AC4406">
      <w:pPr>
        <w:pStyle w:val="NormalWeb"/>
        <w:ind w:left="360"/>
        <w:jc w:val="both"/>
        <w:rPr>
          <w:rFonts w:ascii="Times" w:hAnsi="Times"/>
        </w:rPr>
      </w:pPr>
      <w:r>
        <w:rPr>
          <w:rFonts w:ascii="Times" w:hAnsi="Times"/>
        </w:rPr>
        <w:t>Encuentro que a nivel</w:t>
      </w:r>
      <w:r w:rsidR="006B46B8">
        <w:rPr>
          <w:rFonts w:ascii="Times" w:hAnsi="Times"/>
        </w:rPr>
        <w:t xml:space="preserve"> regional</w:t>
      </w:r>
      <w:r>
        <w:rPr>
          <w:rFonts w:ascii="Times" w:hAnsi="Times"/>
        </w:rPr>
        <w:t>,</w:t>
      </w:r>
      <w:r w:rsidR="006B46B8">
        <w:rPr>
          <w:rFonts w:ascii="Times" w:hAnsi="Times"/>
        </w:rPr>
        <w:t xml:space="preserve"> sorprendentemente</w:t>
      </w:r>
      <w:r>
        <w:rPr>
          <w:rFonts w:ascii="Times" w:hAnsi="Times"/>
        </w:rPr>
        <w:t xml:space="preserve"> existen </w:t>
      </w:r>
      <w:r w:rsidR="006B46B8">
        <w:rPr>
          <w:rFonts w:ascii="Times" w:hAnsi="Times"/>
        </w:rPr>
        <w:t xml:space="preserve">efectos diferenciados entre regiones agrícolas y no agrícolas, </w:t>
      </w:r>
      <w:r w:rsidR="00AC4406">
        <w:rPr>
          <w:rFonts w:ascii="Times" w:hAnsi="Times"/>
        </w:rPr>
        <w:t xml:space="preserve">esto da luces respecto a la importancia tanto de los precios de fertilizantes como de la actividad agrícola, la cual permite tener un mercado de alimentos lo suficientemente competitivo para mitigar de alguna manera esas presiones inflacionarias, que como observamos tiene consecuencias sociales importantes en las poblaciones mas pobres. </w:t>
      </w:r>
    </w:p>
    <w:p w14:paraId="34541895" w14:textId="47320162" w:rsidR="0006089F" w:rsidRDefault="006B46B8" w:rsidP="00AC4406">
      <w:pPr>
        <w:pStyle w:val="NormalWeb"/>
        <w:ind w:left="360"/>
        <w:jc w:val="both"/>
        <w:rPr>
          <w:rFonts w:ascii="Times" w:hAnsi="Times"/>
        </w:rPr>
      </w:pPr>
      <w:r>
        <w:rPr>
          <w:rFonts w:ascii="Times" w:hAnsi="Times"/>
        </w:rPr>
        <w:t>El modelo construido puede tener validez externa, particularmente en países de Latinoamérica, donde también reciben estos choques de forma exógena y tienen características agrícolas similares.</w:t>
      </w:r>
      <w:r w:rsidR="00AC4406">
        <w:rPr>
          <w:rFonts w:ascii="Times" w:hAnsi="Times"/>
        </w:rPr>
        <w:t xml:space="preserve"> </w:t>
      </w:r>
      <w:r w:rsidR="00402E60">
        <w:rPr>
          <w:rFonts w:ascii="Times" w:hAnsi="Times"/>
        </w:rPr>
        <w:t>Así</w:t>
      </w:r>
      <w:r w:rsidR="00AC4406">
        <w:rPr>
          <w:rFonts w:ascii="Times" w:hAnsi="Times"/>
        </w:rPr>
        <w:t xml:space="preserve"> mismo, l</w:t>
      </w:r>
      <w:r>
        <w:rPr>
          <w:rFonts w:ascii="Times" w:hAnsi="Times"/>
        </w:rPr>
        <w:t>a relación</w:t>
      </w:r>
      <w:r w:rsidR="00901647">
        <w:rPr>
          <w:rFonts w:ascii="Times" w:hAnsi="Times"/>
        </w:rPr>
        <w:t xml:space="preserve"> (fertilizantes e inflación)</w:t>
      </w:r>
      <w:r>
        <w:rPr>
          <w:rFonts w:ascii="Times" w:hAnsi="Times"/>
        </w:rPr>
        <w:t xml:space="preserve"> que explora este trabajo es</w:t>
      </w:r>
      <w:r w:rsidR="00901647">
        <w:rPr>
          <w:rFonts w:ascii="Times" w:hAnsi="Times"/>
        </w:rPr>
        <w:t>,</w:t>
      </w:r>
      <w:r w:rsidR="0006089F">
        <w:rPr>
          <w:rFonts w:ascii="Times" w:hAnsi="Times"/>
        </w:rPr>
        <w:t xml:space="preserve"> a simple vista</w:t>
      </w:r>
      <w:r w:rsidR="00901647">
        <w:rPr>
          <w:rFonts w:ascii="Times" w:hAnsi="Times"/>
        </w:rPr>
        <w:t xml:space="preserve"> </w:t>
      </w:r>
      <w:r w:rsidR="0006089F">
        <w:rPr>
          <w:rFonts w:ascii="Times" w:hAnsi="Times"/>
        </w:rPr>
        <w:t xml:space="preserve">razonable, no obstante </w:t>
      </w:r>
      <w:r>
        <w:rPr>
          <w:rFonts w:ascii="Times" w:hAnsi="Times"/>
        </w:rPr>
        <w:t>esta</w:t>
      </w:r>
      <w:r w:rsidR="0006089F">
        <w:rPr>
          <w:rFonts w:ascii="Times" w:hAnsi="Times"/>
        </w:rPr>
        <w:t xml:space="preserve"> es una aproximación formal que evalúa empíricamente la relación entre los precios, la inflación y los niveles de producción agrícola. Caracterizando de forma robusta la relación existente entre estas variables. </w:t>
      </w:r>
    </w:p>
    <w:p w14:paraId="7CEE6D1D" w14:textId="20D19B88" w:rsidR="0006089F" w:rsidRDefault="00AC4406" w:rsidP="00AC4406">
      <w:pPr>
        <w:pStyle w:val="NormalWeb"/>
        <w:numPr>
          <w:ilvl w:val="1"/>
          <w:numId w:val="10"/>
        </w:numPr>
        <w:rPr>
          <w:rFonts w:ascii="Times" w:hAnsi="Times"/>
        </w:rPr>
      </w:pPr>
      <w:r w:rsidRPr="00AC4406">
        <w:rPr>
          <w:rFonts w:ascii="Times" w:hAnsi="Times"/>
          <w:i/>
          <w:iCs/>
        </w:rPr>
        <w:t>Recomendaciones de política</w:t>
      </w:r>
      <w:r>
        <w:rPr>
          <w:rFonts w:ascii="Times" w:hAnsi="Times"/>
        </w:rPr>
        <w:t xml:space="preserve"> </w:t>
      </w:r>
    </w:p>
    <w:p w14:paraId="3F5AFE11" w14:textId="046194FB" w:rsidR="00AC4406" w:rsidRDefault="00C43129" w:rsidP="00402E60">
      <w:pPr>
        <w:pStyle w:val="NormalWeb"/>
        <w:ind w:left="360"/>
        <w:jc w:val="both"/>
        <w:rPr>
          <w:rFonts w:ascii="Times" w:hAnsi="Times"/>
        </w:rPr>
      </w:pPr>
      <w:r>
        <w:rPr>
          <w:rFonts w:ascii="Times" w:hAnsi="Times"/>
        </w:rPr>
        <w:t xml:space="preserve">De este trabajo pueden partir algunas recomendaciones de política, </w:t>
      </w:r>
      <w:r w:rsidRPr="00402E60">
        <w:rPr>
          <w:rFonts w:ascii="Times" w:hAnsi="Times"/>
          <w:b/>
          <w:bCs/>
        </w:rPr>
        <w:t>i)</w:t>
      </w:r>
      <w:r>
        <w:rPr>
          <w:rFonts w:ascii="Times" w:hAnsi="Times"/>
        </w:rPr>
        <w:t xml:space="preserve"> </w:t>
      </w:r>
      <w:r w:rsidR="007B40DF" w:rsidRPr="007B40DF">
        <w:rPr>
          <w:rFonts w:ascii="Times" w:hAnsi="Times"/>
          <w:b/>
          <w:bCs/>
        </w:rPr>
        <w:t xml:space="preserve">no sobre ajustar </w:t>
      </w:r>
      <w:r w:rsidRPr="007B40DF">
        <w:rPr>
          <w:rFonts w:ascii="Times" w:hAnsi="Times"/>
          <w:b/>
          <w:bCs/>
        </w:rPr>
        <w:t>salarios (</w:t>
      </w:r>
      <w:r w:rsidR="00402E60" w:rsidRPr="007B40DF">
        <w:rPr>
          <w:rFonts w:ascii="Times" w:hAnsi="Times"/>
          <w:b/>
          <w:bCs/>
        </w:rPr>
        <w:t>mínimo</w:t>
      </w:r>
      <w:r w:rsidRPr="007B40DF">
        <w:rPr>
          <w:rFonts w:ascii="Times" w:hAnsi="Times"/>
          <w:b/>
          <w:bCs/>
        </w:rPr>
        <w:t xml:space="preserve"> y públicos)</w:t>
      </w:r>
      <w:r>
        <w:rPr>
          <w:rFonts w:ascii="Times" w:hAnsi="Times"/>
        </w:rPr>
        <w:t xml:space="preserve">, esto podría generar mayores presiones en los costos de producción de los alimentos </w:t>
      </w:r>
      <w:r w:rsidR="00402E60">
        <w:rPr>
          <w:rFonts w:ascii="Times" w:hAnsi="Times"/>
        </w:rPr>
        <w:t>que es intensiva en mano de obra, en particular</w:t>
      </w:r>
      <w:r>
        <w:rPr>
          <w:rFonts w:ascii="Times" w:hAnsi="Times"/>
        </w:rPr>
        <w:t xml:space="preserve"> informal lo cual  aumenta</w:t>
      </w:r>
      <w:r w:rsidR="00402E60">
        <w:rPr>
          <w:rFonts w:ascii="Times" w:hAnsi="Times"/>
        </w:rPr>
        <w:t xml:space="preserve"> también</w:t>
      </w:r>
      <w:r>
        <w:rPr>
          <w:rFonts w:ascii="Times" w:hAnsi="Times"/>
        </w:rPr>
        <w:t xml:space="preserve"> la informalidad de este sector, </w:t>
      </w:r>
      <w:r w:rsidRPr="007B40DF">
        <w:rPr>
          <w:rFonts w:ascii="Times" w:hAnsi="Times"/>
          <w:b/>
          <w:bCs/>
        </w:rPr>
        <w:t>ii)</w:t>
      </w:r>
      <w:r>
        <w:rPr>
          <w:rFonts w:ascii="Times" w:hAnsi="Times"/>
        </w:rPr>
        <w:t xml:space="preserve"> </w:t>
      </w:r>
      <w:r w:rsidR="007B40DF" w:rsidRPr="007B40DF">
        <w:rPr>
          <w:rFonts w:ascii="Times" w:hAnsi="Times"/>
          <w:b/>
          <w:bCs/>
        </w:rPr>
        <w:t>continuidad de</w:t>
      </w:r>
      <w:r w:rsidRPr="007B40DF">
        <w:rPr>
          <w:rFonts w:ascii="Times" w:hAnsi="Times"/>
          <w:b/>
          <w:bCs/>
        </w:rPr>
        <w:t xml:space="preserve"> subsidi</w:t>
      </w:r>
      <w:r w:rsidR="007B40DF" w:rsidRPr="007B40DF">
        <w:rPr>
          <w:rFonts w:ascii="Times" w:hAnsi="Times"/>
          <w:b/>
          <w:bCs/>
        </w:rPr>
        <w:t>os de</w:t>
      </w:r>
      <w:r w:rsidRPr="007B40DF">
        <w:rPr>
          <w:rFonts w:ascii="Times" w:hAnsi="Times"/>
          <w:b/>
          <w:bCs/>
        </w:rPr>
        <w:t xml:space="preserve"> insumos</w:t>
      </w:r>
      <w:r w:rsidR="007B40DF" w:rsidRPr="007B40DF">
        <w:rPr>
          <w:rFonts w:ascii="Times" w:hAnsi="Times"/>
          <w:b/>
          <w:bCs/>
        </w:rPr>
        <w:t xml:space="preserve"> </w:t>
      </w:r>
      <w:r w:rsidR="007B40DF">
        <w:rPr>
          <w:rFonts w:ascii="Times" w:hAnsi="Times"/>
          <w:b/>
          <w:bCs/>
        </w:rPr>
        <w:t>agrícolas</w:t>
      </w:r>
      <w:r w:rsidR="007B40DF">
        <w:rPr>
          <w:rFonts w:ascii="Times" w:hAnsi="Times"/>
        </w:rPr>
        <w:t xml:space="preserve">, esto </w:t>
      </w:r>
      <w:r>
        <w:rPr>
          <w:rFonts w:ascii="Times" w:hAnsi="Times"/>
        </w:rPr>
        <w:t>puede ser un mecanismo de alivio en los costos iii)</w:t>
      </w:r>
      <w:r w:rsidRPr="007B40DF">
        <w:rPr>
          <w:rFonts w:ascii="Times" w:hAnsi="Times"/>
          <w:b/>
          <w:bCs/>
        </w:rPr>
        <w:t xml:space="preserve"> </w:t>
      </w:r>
      <w:r w:rsidR="007B40DF">
        <w:rPr>
          <w:rFonts w:ascii="Times" w:hAnsi="Times"/>
          <w:b/>
          <w:bCs/>
        </w:rPr>
        <w:t>p</w:t>
      </w:r>
      <w:r w:rsidR="007B40DF" w:rsidRPr="007B40DF">
        <w:rPr>
          <w:rFonts w:ascii="Times" w:hAnsi="Times"/>
          <w:b/>
          <w:bCs/>
        </w:rPr>
        <w:t>rogramas</w:t>
      </w:r>
      <w:r w:rsidRPr="007B40DF">
        <w:rPr>
          <w:rFonts w:ascii="Times" w:hAnsi="Times"/>
          <w:b/>
          <w:bCs/>
        </w:rPr>
        <w:t xml:space="preserve"> de ayuda sociales a población mas pobre </w:t>
      </w:r>
      <w:r>
        <w:rPr>
          <w:rFonts w:ascii="Times" w:hAnsi="Times"/>
        </w:rPr>
        <w:t xml:space="preserve">que les permita acceder sin restricciones a los </w:t>
      </w:r>
      <w:r w:rsidR="007462D4">
        <w:rPr>
          <w:rFonts w:ascii="Times" w:hAnsi="Times"/>
        </w:rPr>
        <w:t xml:space="preserve">bienes de la canasta familiar, aquí se debe focalizar la ayuda </w:t>
      </w:r>
      <w:r w:rsidR="007B40DF">
        <w:rPr>
          <w:rFonts w:ascii="Times" w:hAnsi="Times"/>
        </w:rPr>
        <w:t>pues es</w:t>
      </w:r>
      <w:r w:rsidR="007462D4">
        <w:rPr>
          <w:rFonts w:ascii="Times" w:hAnsi="Times"/>
        </w:rPr>
        <w:t xml:space="preserve"> la población donde se siente el mayor rigor de la inflación, </w:t>
      </w:r>
      <w:r w:rsidR="007462D4" w:rsidRPr="007B40DF">
        <w:rPr>
          <w:rFonts w:ascii="Times" w:hAnsi="Times"/>
          <w:b/>
          <w:bCs/>
        </w:rPr>
        <w:t>iv)</w:t>
      </w:r>
      <w:r w:rsidR="007B40DF" w:rsidRPr="007B40DF">
        <w:rPr>
          <w:rFonts w:ascii="Times" w:hAnsi="Times"/>
          <w:b/>
          <w:bCs/>
        </w:rPr>
        <w:t xml:space="preserve"> p</w:t>
      </w:r>
      <w:r w:rsidR="007462D4" w:rsidRPr="007B40DF">
        <w:rPr>
          <w:rFonts w:ascii="Times" w:hAnsi="Times"/>
          <w:b/>
          <w:bCs/>
        </w:rPr>
        <w:t>rogramas para activar regiones con alto potencial agrícola</w:t>
      </w:r>
      <w:r w:rsidR="007462D4">
        <w:rPr>
          <w:rFonts w:ascii="Times" w:hAnsi="Times"/>
        </w:rPr>
        <w:t xml:space="preserve">, en tanto cada vez mas regiones tengan niveles de producción </w:t>
      </w:r>
      <w:r w:rsidR="0037551B">
        <w:rPr>
          <w:rFonts w:ascii="Times" w:hAnsi="Times"/>
        </w:rPr>
        <w:t>agrícola</w:t>
      </w:r>
      <w:r w:rsidR="007462D4">
        <w:rPr>
          <w:rFonts w:ascii="Times" w:hAnsi="Times"/>
        </w:rPr>
        <w:t xml:space="preserve"> altos, es posible absorber parte de esa inflación. </w:t>
      </w:r>
    </w:p>
    <w:p w14:paraId="6D98EFE8" w14:textId="77777777" w:rsidR="00AC4406" w:rsidRPr="0006089F" w:rsidRDefault="00AC4406" w:rsidP="00AC4406">
      <w:pPr>
        <w:pStyle w:val="NormalWeb"/>
        <w:ind w:left="720"/>
        <w:rPr>
          <w:rFonts w:ascii="Times" w:hAnsi="Times"/>
        </w:rPr>
      </w:pPr>
    </w:p>
    <w:p w14:paraId="0BAF2689" w14:textId="77777777" w:rsidR="0006089F" w:rsidRDefault="0006089F" w:rsidP="00617F07">
      <w:pPr>
        <w:pStyle w:val="NormalWeb"/>
        <w:ind w:left="720"/>
        <w:jc w:val="both"/>
        <w:rPr>
          <w:rFonts w:ascii="Times" w:hAnsi="Times"/>
        </w:rPr>
      </w:pPr>
    </w:p>
    <w:p w14:paraId="028A6C65" w14:textId="6F54FCA3" w:rsidR="00AD7A82" w:rsidRDefault="00AD7A82" w:rsidP="00901647">
      <w:pPr>
        <w:pStyle w:val="NormalWeb"/>
        <w:numPr>
          <w:ilvl w:val="0"/>
          <w:numId w:val="10"/>
        </w:numPr>
        <w:jc w:val="center"/>
        <w:rPr>
          <w:rFonts w:ascii="Times" w:hAnsi="Times"/>
        </w:rPr>
      </w:pPr>
      <w:r>
        <w:rPr>
          <w:rFonts w:ascii="Times" w:hAnsi="Times"/>
        </w:rPr>
        <w:lastRenderedPageBreak/>
        <w:t>ANEXOS.</w:t>
      </w:r>
    </w:p>
    <w:p w14:paraId="5B68229C" w14:textId="5C0888E8" w:rsidR="00AD7A82" w:rsidRPr="00AD7A82" w:rsidRDefault="00AD7A82" w:rsidP="00AD7A82">
      <w:pPr>
        <w:pStyle w:val="NormalWeb"/>
        <w:jc w:val="center"/>
        <w:rPr>
          <w:rFonts w:ascii="Times" w:hAnsi="Times"/>
          <w:sz w:val="20"/>
          <w:szCs w:val="20"/>
        </w:rPr>
      </w:pPr>
      <w:r>
        <w:rPr>
          <w:rFonts w:ascii="Times" w:hAnsi="Times"/>
          <w:sz w:val="20"/>
          <w:szCs w:val="20"/>
        </w:rPr>
        <w:t>Tabla</w:t>
      </w:r>
      <w:r w:rsidRPr="00A71136">
        <w:rPr>
          <w:rFonts w:ascii="Times" w:hAnsi="Times"/>
          <w:sz w:val="20"/>
          <w:szCs w:val="20"/>
        </w:rPr>
        <w:t xml:space="preserve"> </w:t>
      </w:r>
      <w:r w:rsidR="002D49D7">
        <w:rPr>
          <w:rFonts w:ascii="Times" w:hAnsi="Times"/>
          <w:sz w:val="20"/>
          <w:szCs w:val="20"/>
        </w:rPr>
        <w:t>3</w:t>
      </w:r>
      <w:r w:rsidRPr="00A71136">
        <w:rPr>
          <w:rFonts w:ascii="Times" w:hAnsi="Times"/>
          <w:sz w:val="20"/>
          <w:szCs w:val="20"/>
        </w:rPr>
        <w:t xml:space="preserve">. </w:t>
      </w:r>
      <w:r>
        <w:rPr>
          <w:rFonts w:ascii="Times" w:hAnsi="Times"/>
          <w:sz w:val="20"/>
          <w:szCs w:val="20"/>
        </w:rPr>
        <w:t xml:space="preserve">Producción Agrícola por departamentos. </w:t>
      </w:r>
    </w:p>
    <w:tbl>
      <w:tblPr>
        <w:tblW w:w="7949" w:type="dxa"/>
        <w:jc w:val="center"/>
        <w:tblCellMar>
          <w:left w:w="70" w:type="dxa"/>
          <w:right w:w="70" w:type="dxa"/>
        </w:tblCellMar>
        <w:tblLook w:val="04A0" w:firstRow="1" w:lastRow="0" w:firstColumn="1" w:lastColumn="0" w:noHBand="0" w:noVBand="1"/>
      </w:tblPr>
      <w:tblGrid>
        <w:gridCol w:w="1351"/>
        <w:gridCol w:w="2906"/>
        <w:gridCol w:w="1799"/>
        <w:gridCol w:w="1738"/>
        <w:gridCol w:w="155"/>
      </w:tblGrid>
      <w:tr w:rsidR="00AD7A82" w:rsidRPr="00AD7A82" w14:paraId="6CCC3FCC" w14:textId="77777777" w:rsidTr="00AD7A82">
        <w:trPr>
          <w:gridAfter w:val="1"/>
          <w:wAfter w:w="155" w:type="dxa"/>
          <w:trHeight w:val="276"/>
          <w:jc w:val="center"/>
        </w:trPr>
        <w:tc>
          <w:tcPr>
            <w:tcW w:w="1351" w:type="dxa"/>
            <w:vMerge w:val="restart"/>
            <w:tcBorders>
              <w:top w:val="single" w:sz="4" w:space="0" w:color="auto"/>
              <w:left w:val="single" w:sz="4" w:space="0" w:color="auto"/>
              <w:bottom w:val="nil"/>
              <w:right w:val="nil"/>
            </w:tcBorders>
            <w:shd w:val="clear" w:color="000000" w:fill="D9D9D9"/>
            <w:vAlign w:val="center"/>
            <w:hideMark/>
          </w:tcPr>
          <w:p w14:paraId="2D11F239" w14:textId="77777777" w:rsidR="00AD7A82" w:rsidRPr="00AD7A82" w:rsidRDefault="00AD7A82">
            <w:pPr>
              <w:jc w:val="center"/>
              <w:rPr>
                <w:rFonts w:ascii="Segoe UI" w:hAnsi="Segoe UI" w:cs="Segoe UI"/>
                <w:b/>
                <w:bCs/>
                <w:sz w:val="18"/>
                <w:szCs w:val="18"/>
              </w:rPr>
            </w:pPr>
            <w:r w:rsidRPr="00AD7A82">
              <w:rPr>
                <w:rFonts w:ascii="Segoe UI" w:hAnsi="Segoe UI" w:cs="Segoe UI"/>
                <w:b/>
                <w:bCs/>
                <w:sz w:val="18"/>
                <w:szCs w:val="18"/>
              </w:rPr>
              <w:t>Código</w:t>
            </w:r>
          </w:p>
        </w:tc>
        <w:tc>
          <w:tcPr>
            <w:tcW w:w="2906" w:type="dxa"/>
            <w:vMerge w:val="restart"/>
            <w:tcBorders>
              <w:top w:val="single" w:sz="4" w:space="0" w:color="auto"/>
              <w:left w:val="nil"/>
              <w:bottom w:val="single" w:sz="4" w:space="0" w:color="000000"/>
              <w:right w:val="nil"/>
            </w:tcBorders>
            <w:shd w:val="clear" w:color="000000" w:fill="D9D9D9"/>
            <w:noWrap/>
            <w:vAlign w:val="center"/>
            <w:hideMark/>
          </w:tcPr>
          <w:p w14:paraId="24863539" w14:textId="77777777" w:rsidR="00AD7A82" w:rsidRPr="00AD7A82" w:rsidRDefault="00AD7A82">
            <w:pPr>
              <w:jc w:val="center"/>
              <w:rPr>
                <w:rFonts w:ascii="Segoe UI" w:hAnsi="Segoe UI" w:cs="Segoe UI"/>
                <w:b/>
                <w:bCs/>
                <w:sz w:val="18"/>
                <w:szCs w:val="18"/>
              </w:rPr>
            </w:pPr>
            <w:r w:rsidRPr="00AD7A82">
              <w:rPr>
                <w:rFonts w:ascii="Segoe UI" w:hAnsi="Segoe UI" w:cs="Segoe UI"/>
                <w:b/>
                <w:bCs/>
                <w:sz w:val="18"/>
                <w:szCs w:val="18"/>
              </w:rPr>
              <w:t>Región</w:t>
            </w:r>
          </w:p>
        </w:tc>
        <w:tc>
          <w:tcPr>
            <w:tcW w:w="1799" w:type="dxa"/>
            <w:vMerge w:val="restart"/>
            <w:tcBorders>
              <w:top w:val="single" w:sz="4" w:space="0" w:color="auto"/>
              <w:left w:val="nil"/>
              <w:bottom w:val="single" w:sz="4" w:space="0" w:color="000000"/>
              <w:right w:val="nil"/>
            </w:tcBorders>
            <w:shd w:val="clear" w:color="000000" w:fill="D9D9D9"/>
            <w:vAlign w:val="center"/>
            <w:hideMark/>
          </w:tcPr>
          <w:p w14:paraId="4BB48E3E" w14:textId="4A4F5E70" w:rsidR="00AD7A82" w:rsidRPr="00AD7A82" w:rsidRDefault="00AD7A82">
            <w:pPr>
              <w:jc w:val="center"/>
              <w:rPr>
                <w:rFonts w:ascii="Segoe UI" w:hAnsi="Segoe UI" w:cs="Segoe UI"/>
                <w:b/>
                <w:bCs/>
                <w:sz w:val="18"/>
                <w:szCs w:val="18"/>
              </w:rPr>
            </w:pPr>
            <w:r w:rsidRPr="00AD7A82">
              <w:rPr>
                <w:rFonts w:ascii="Segoe UI" w:hAnsi="Segoe UI" w:cs="Segoe UI"/>
                <w:b/>
                <w:bCs/>
                <w:sz w:val="18"/>
                <w:szCs w:val="18"/>
              </w:rPr>
              <w:t>Total Volumen</w:t>
            </w:r>
          </w:p>
        </w:tc>
        <w:tc>
          <w:tcPr>
            <w:tcW w:w="1738" w:type="dxa"/>
            <w:vMerge w:val="restart"/>
            <w:tcBorders>
              <w:top w:val="single" w:sz="4" w:space="0" w:color="auto"/>
              <w:left w:val="nil"/>
              <w:bottom w:val="single" w:sz="4" w:space="0" w:color="000000"/>
              <w:right w:val="single" w:sz="4" w:space="0" w:color="auto"/>
            </w:tcBorders>
            <w:shd w:val="clear" w:color="000000" w:fill="D9D9D9"/>
            <w:vAlign w:val="center"/>
            <w:hideMark/>
          </w:tcPr>
          <w:p w14:paraId="68C1C5C0" w14:textId="77777777" w:rsidR="00AD7A82" w:rsidRPr="00AD7A82" w:rsidRDefault="00AD7A82">
            <w:pPr>
              <w:jc w:val="center"/>
              <w:rPr>
                <w:rFonts w:ascii="Segoe UI" w:hAnsi="Segoe UI" w:cs="Segoe UI"/>
                <w:b/>
                <w:bCs/>
                <w:sz w:val="18"/>
                <w:szCs w:val="18"/>
              </w:rPr>
            </w:pPr>
            <w:r w:rsidRPr="00AD7A82">
              <w:rPr>
                <w:rFonts w:ascii="Segoe UI" w:hAnsi="Segoe UI" w:cs="Segoe UI"/>
                <w:b/>
                <w:bCs/>
                <w:sz w:val="18"/>
                <w:szCs w:val="18"/>
              </w:rPr>
              <w:t xml:space="preserve"> Ponderación </w:t>
            </w:r>
          </w:p>
        </w:tc>
      </w:tr>
      <w:tr w:rsidR="00AD7A82" w:rsidRPr="00AD7A82" w14:paraId="6912FDEB" w14:textId="77777777" w:rsidTr="00AD7A82">
        <w:trPr>
          <w:trHeight w:val="268"/>
          <w:jc w:val="center"/>
        </w:trPr>
        <w:tc>
          <w:tcPr>
            <w:tcW w:w="1351" w:type="dxa"/>
            <w:vMerge/>
            <w:tcBorders>
              <w:top w:val="single" w:sz="4" w:space="0" w:color="auto"/>
              <w:left w:val="single" w:sz="4" w:space="0" w:color="auto"/>
              <w:bottom w:val="nil"/>
              <w:right w:val="nil"/>
            </w:tcBorders>
            <w:vAlign w:val="center"/>
            <w:hideMark/>
          </w:tcPr>
          <w:p w14:paraId="72B86845" w14:textId="77777777" w:rsidR="00AD7A82" w:rsidRPr="00AD7A82" w:rsidRDefault="00AD7A82">
            <w:pPr>
              <w:rPr>
                <w:rFonts w:ascii="Segoe UI" w:hAnsi="Segoe UI" w:cs="Segoe UI"/>
                <w:b/>
                <w:bCs/>
                <w:sz w:val="18"/>
                <w:szCs w:val="18"/>
              </w:rPr>
            </w:pPr>
          </w:p>
        </w:tc>
        <w:tc>
          <w:tcPr>
            <w:tcW w:w="2906" w:type="dxa"/>
            <w:vMerge/>
            <w:tcBorders>
              <w:top w:val="single" w:sz="4" w:space="0" w:color="auto"/>
              <w:left w:val="nil"/>
              <w:bottom w:val="single" w:sz="4" w:space="0" w:color="000000"/>
              <w:right w:val="nil"/>
            </w:tcBorders>
            <w:vAlign w:val="center"/>
            <w:hideMark/>
          </w:tcPr>
          <w:p w14:paraId="27852650" w14:textId="77777777" w:rsidR="00AD7A82" w:rsidRPr="00AD7A82" w:rsidRDefault="00AD7A82">
            <w:pPr>
              <w:rPr>
                <w:rFonts w:ascii="Segoe UI" w:hAnsi="Segoe UI" w:cs="Segoe UI"/>
                <w:b/>
                <w:bCs/>
                <w:sz w:val="18"/>
                <w:szCs w:val="18"/>
              </w:rPr>
            </w:pPr>
          </w:p>
        </w:tc>
        <w:tc>
          <w:tcPr>
            <w:tcW w:w="1799" w:type="dxa"/>
            <w:vMerge/>
            <w:tcBorders>
              <w:top w:val="single" w:sz="4" w:space="0" w:color="auto"/>
              <w:left w:val="nil"/>
              <w:bottom w:val="single" w:sz="4" w:space="0" w:color="000000"/>
              <w:right w:val="nil"/>
            </w:tcBorders>
            <w:vAlign w:val="center"/>
            <w:hideMark/>
          </w:tcPr>
          <w:p w14:paraId="3A1B9FA8" w14:textId="77777777" w:rsidR="00AD7A82" w:rsidRPr="00AD7A82" w:rsidRDefault="00AD7A82">
            <w:pPr>
              <w:rPr>
                <w:rFonts w:ascii="Segoe UI" w:hAnsi="Segoe UI" w:cs="Segoe UI"/>
                <w:b/>
                <w:bCs/>
                <w:sz w:val="18"/>
                <w:szCs w:val="18"/>
              </w:rPr>
            </w:pPr>
          </w:p>
        </w:tc>
        <w:tc>
          <w:tcPr>
            <w:tcW w:w="1738" w:type="dxa"/>
            <w:vMerge/>
            <w:tcBorders>
              <w:top w:val="single" w:sz="4" w:space="0" w:color="auto"/>
              <w:left w:val="nil"/>
              <w:bottom w:val="single" w:sz="4" w:space="0" w:color="000000"/>
              <w:right w:val="single" w:sz="4" w:space="0" w:color="auto"/>
            </w:tcBorders>
            <w:vAlign w:val="center"/>
            <w:hideMark/>
          </w:tcPr>
          <w:p w14:paraId="50C8CCA4" w14:textId="77777777" w:rsidR="00AD7A82" w:rsidRPr="00AD7A82" w:rsidRDefault="00AD7A82">
            <w:pPr>
              <w:rPr>
                <w:rFonts w:ascii="Segoe UI" w:hAnsi="Segoe UI" w:cs="Segoe UI"/>
                <w:b/>
                <w:bCs/>
                <w:sz w:val="18"/>
                <w:szCs w:val="18"/>
              </w:rPr>
            </w:pPr>
          </w:p>
        </w:tc>
        <w:tc>
          <w:tcPr>
            <w:tcW w:w="155" w:type="dxa"/>
            <w:tcBorders>
              <w:top w:val="nil"/>
              <w:left w:val="nil"/>
              <w:bottom w:val="nil"/>
              <w:right w:val="nil"/>
            </w:tcBorders>
            <w:shd w:val="clear" w:color="auto" w:fill="auto"/>
            <w:noWrap/>
            <w:vAlign w:val="bottom"/>
            <w:hideMark/>
          </w:tcPr>
          <w:p w14:paraId="425F9CE6" w14:textId="77777777" w:rsidR="00AD7A82" w:rsidRPr="00AD7A82" w:rsidRDefault="00AD7A82">
            <w:pPr>
              <w:jc w:val="center"/>
              <w:rPr>
                <w:rFonts w:ascii="Segoe UI" w:hAnsi="Segoe UI" w:cs="Segoe UI"/>
                <w:b/>
                <w:bCs/>
                <w:sz w:val="18"/>
                <w:szCs w:val="18"/>
              </w:rPr>
            </w:pPr>
          </w:p>
        </w:tc>
      </w:tr>
      <w:tr w:rsidR="00AD7A82" w:rsidRPr="00AD7A82" w14:paraId="5B9A1830" w14:textId="77777777" w:rsidTr="00AD7A82">
        <w:trPr>
          <w:trHeight w:val="268"/>
          <w:jc w:val="center"/>
        </w:trPr>
        <w:tc>
          <w:tcPr>
            <w:tcW w:w="1351" w:type="dxa"/>
            <w:vMerge/>
            <w:tcBorders>
              <w:top w:val="single" w:sz="4" w:space="0" w:color="auto"/>
              <w:left w:val="single" w:sz="4" w:space="0" w:color="auto"/>
              <w:bottom w:val="nil"/>
              <w:right w:val="nil"/>
            </w:tcBorders>
            <w:vAlign w:val="center"/>
            <w:hideMark/>
          </w:tcPr>
          <w:p w14:paraId="18A3FC76" w14:textId="77777777" w:rsidR="00AD7A82" w:rsidRPr="00AD7A82" w:rsidRDefault="00AD7A82">
            <w:pPr>
              <w:rPr>
                <w:rFonts w:ascii="Segoe UI" w:hAnsi="Segoe UI" w:cs="Segoe UI"/>
                <w:b/>
                <w:bCs/>
                <w:sz w:val="18"/>
                <w:szCs w:val="18"/>
              </w:rPr>
            </w:pPr>
          </w:p>
        </w:tc>
        <w:tc>
          <w:tcPr>
            <w:tcW w:w="2906" w:type="dxa"/>
            <w:tcBorders>
              <w:top w:val="nil"/>
              <w:left w:val="nil"/>
              <w:bottom w:val="nil"/>
              <w:right w:val="nil"/>
            </w:tcBorders>
            <w:shd w:val="clear" w:color="000000" w:fill="D9D9D9"/>
            <w:noWrap/>
            <w:vAlign w:val="center"/>
            <w:hideMark/>
          </w:tcPr>
          <w:p w14:paraId="6618F768" w14:textId="77777777" w:rsidR="00AD7A82" w:rsidRPr="00AD7A82" w:rsidRDefault="00AD7A82">
            <w:pPr>
              <w:jc w:val="center"/>
              <w:rPr>
                <w:rFonts w:ascii="Segoe UI" w:hAnsi="Segoe UI" w:cs="Segoe UI"/>
                <w:b/>
                <w:bCs/>
                <w:sz w:val="18"/>
                <w:szCs w:val="18"/>
              </w:rPr>
            </w:pPr>
            <w:r w:rsidRPr="00AD7A82">
              <w:rPr>
                <w:rFonts w:ascii="Segoe UI" w:hAnsi="Segoe UI" w:cs="Segoe UI"/>
                <w:b/>
                <w:bCs/>
                <w:sz w:val="18"/>
                <w:szCs w:val="18"/>
              </w:rPr>
              <w:t>Departamento</w:t>
            </w:r>
          </w:p>
        </w:tc>
        <w:tc>
          <w:tcPr>
            <w:tcW w:w="1799" w:type="dxa"/>
            <w:tcBorders>
              <w:top w:val="nil"/>
              <w:left w:val="nil"/>
              <w:bottom w:val="single" w:sz="4" w:space="0" w:color="auto"/>
              <w:right w:val="nil"/>
            </w:tcBorders>
            <w:shd w:val="clear" w:color="000000" w:fill="D9D9D9"/>
            <w:vAlign w:val="center"/>
            <w:hideMark/>
          </w:tcPr>
          <w:p w14:paraId="66D847FD"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Toneladas</w:t>
            </w:r>
          </w:p>
        </w:tc>
        <w:tc>
          <w:tcPr>
            <w:tcW w:w="1738" w:type="dxa"/>
            <w:tcBorders>
              <w:top w:val="nil"/>
              <w:left w:val="nil"/>
              <w:bottom w:val="single" w:sz="4" w:space="0" w:color="auto"/>
              <w:right w:val="single" w:sz="4" w:space="0" w:color="auto"/>
            </w:tcBorders>
            <w:shd w:val="clear" w:color="000000" w:fill="D9D9D9"/>
            <w:vAlign w:val="center"/>
            <w:hideMark/>
          </w:tcPr>
          <w:p w14:paraId="124EB4BE"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w:t>
            </w:r>
          </w:p>
        </w:tc>
        <w:tc>
          <w:tcPr>
            <w:tcW w:w="155" w:type="dxa"/>
            <w:vAlign w:val="center"/>
            <w:hideMark/>
          </w:tcPr>
          <w:p w14:paraId="70788BDA" w14:textId="77777777" w:rsidR="00AD7A82" w:rsidRPr="00AD7A82" w:rsidRDefault="00AD7A82">
            <w:pPr>
              <w:rPr>
                <w:sz w:val="18"/>
                <w:szCs w:val="18"/>
              </w:rPr>
            </w:pPr>
          </w:p>
        </w:tc>
      </w:tr>
      <w:tr w:rsidR="00AD7A82" w:rsidRPr="00AD7A82" w14:paraId="5A9FA6AC" w14:textId="77777777" w:rsidTr="00AD7A82">
        <w:trPr>
          <w:trHeight w:val="268"/>
          <w:jc w:val="center"/>
        </w:trPr>
        <w:tc>
          <w:tcPr>
            <w:tcW w:w="1351" w:type="dxa"/>
            <w:tcBorders>
              <w:top w:val="single" w:sz="4" w:space="0" w:color="auto"/>
              <w:left w:val="single" w:sz="4" w:space="0" w:color="auto"/>
              <w:bottom w:val="single" w:sz="4" w:space="0" w:color="auto"/>
              <w:right w:val="nil"/>
            </w:tcBorders>
            <w:shd w:val="clear" w:color="000000" w:fill="FFFFFF"/>
            <w:noWrap/>
            <w:vAlign w:val="center"/>
            <w:hideMark/>
          </w:tcPr>
          <w:p w14:paraId="419EDC27" w14:textId="77777777" w:rsidR="00AD7A82" w:rsidRPr="00AD7A82" w:rsidRDefault="00AD7A82">
            <w:pPr>
              <w:rPr>
                <w:rFonts w:ascii="Segoe UI" w:hAnsi="Segoe UI" w:cs="Segoe UI"/>
                <w:b/>
                <w:bCs/>
                <w:sz w:val="18"/>
                <w:szCs w:val="18"/>
              </w:rPr>
            </w:pPr>
            <w:r w:rsidRPr="00AD7A82">
              <w:rPr>
                <w:rFonts w:ascii="Segoe UI" w:hAnsi="Segoe UI" w:cs="Segoe UI"/>
                <w:b/>
                <w:bCs/>
                <w:sz w:val="18"/>
                <w:szCs w:val="18"/>
              </w:rPr>
              <w:t> </w:t>
            </w:r>
          </w:p>
        </w:tc>
        <w:tc>
          <w:tcPr>
            <w:tcW w:w="2906" w:type="dxa"/>
            <w:tcBorders>
              <w:top w:val="single" w:sz="4" w:space="0" w:color="auto"/>
              <w:left w:val="nil"/>
              <w:bottom w:val="single" w:sz="4" w:space="0" w:color="auto"/>
              <w:right w:val="nil"/>
            </w:tcBorders>
            <w:shd w:val="clear" w:color="000000" w:fill="FFFFFF"/>
            <w:noWrap/>
            <w:vAlign w:val="center"/>
            <w:hideMark/>
          </w:tcPr>
          <w:p w14:paraId="0670A188" w14:textId="77777777" w:rsidR="00AD7A82" w:rsidRPr="00AD7A82" w:rsidRDefault="00AD7A82">
            <w:pPr>
              <w:rPr>
                <w:rFonts w:ascii="Segoe UI" w:hAnsi="Segoe UI" w:cs="Segoe UI"/>
                <w:b/>
                <w:bCs/>
                <w:sz w:val="18"/>
                <w:szCs w:val="18"/>
              </w:rPr>
            </w:pPr>
            <w:r w:rsidRPr="00AD7A82">
              <w:rPr>
                <w:rFonts w:ascii="Segoe UI" w:hAnsi="Segoe UI" w:cs="Segoe UI"/>
                <w:b/>
                <w:bCs/>
                <w:sz w:val="18"/>
                <w:szCs w:val="18"/>
              </w:rPr>
              <w:t xml:space="preserve"> Total Nacional </w:t>
            </w:r>
          </w:p>
        </w:tc>
        <w:tc>
          <w:tcPr>
            <w:tcW w:w="1799" w:type="dxa"/>
            <w:tcBorders>
              <w:top w:val="nil"/>
              <w:left w:val="nil"/>
              <w:bottom w:val="nil"/>
              <w:right w:val="nil"/>
            </w:tcBorders>
            <w:shd w:val="clear" w:color="000000" w:fill="FFFFFF"/>
            <w:noWrap/>
            <w:vAlign w:val="center"/>
            <w:hideMark/>
          </w:tcPr>
          <w:p w14:paraId="29F19E52" w14:textId="2D0C4B6D"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16.990.035     </w:t>
            </w:r>
          </w:p>
        </w:tc>
        <w:tc>
          <w:tcPr>
            <w:tcW w:w="1738" w:type="dxa"/>
            <w:tcBorders>
              <w:top w:val="nil"/>
              <w:left w:val="nil"/>
              <w:bottom w:val="nil"/>
              <w:right w:val="single" w:sz="4" w:space="0" w:color="auto"/>
            </w:tcBorders>
            <w:shd w:val="clear" w:color="000000" w:fill="FFFFFF"/>
            <w:noWrap/>
            <w:vAlign w:val="center"/>
            <w:hideMark/>
          </w:tcPr>
          <w:p w14:paraId="3553874E"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1,00 </w:t>
            </w:r>
          </w:p>
        </w:tc>
        <w:tc>
          <w:tcPr>
            <w:tcW w:w="155" w:type="dxa"/>
            <w:vAlign w:val="center"/>
            <w:hideMark/>
          </w:tcPr>
          <w:p w14:paraId="607A9B2B" w14:textId="77777777" w:rsidR="00AD7A82" w:rsidRPr="00AD7A82" w:rsidRDefault="00AD7A82">
            <w:pPr>
              <w:rPr>
                <w:sz w:val="18"/>
                <w:szCs w:val="18"/>
              </w:rPr>
            </w:pPr>
          </w:p>
        </w:tc>
      </w:tr>
      <w:tr w:rsidR="00AD7A82" w:rsidRPr="00AD7A82" w14:paraId="586D56F2"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39C9FD76" w14:textId="77777777" w:rsidR="00AD7A82" w:rsidRPr="00AD7A82" w:rsidRDefault="00AD7A82">
            <w:pPr>
              <w:rPr>
                <w:rFonts w:ascii="Segoe UI" w:hAnsi="Segoe UI" w:cs="Segoe UI"/>
                <w:b/>
                <w:bCs/>
                <w:sz w:val="18"/>
                <w:szCs w:val="18"/>
              </w:rPr>
            </w:pPr>
            <w:r w:rsidRPr="00AD7A82">
              <w:rPr>
                <w:rFonts w:ascii="Segoe UI" w:hAnsi="Segoe UI" w:cs="Segoe UI"/>
                <w:b/>
                <w:bCs/>
                <w:sz w:val="18"/>
                <w:szCs w:val="18"/>
              </w:rPr>
              <w:t> </w:t>
            </w:r>
          </w:p>
        </w:tc>
        <w:tc>
          <w:tcPr>
            <w:tcW w:w="2906" w:type="dxa"/>
            <w:tcBorders>
              <w:top w:val="nil"/>
              <w:left w:val="nil"/>
              <w:bottom w:val="nil"/>
              <w:right w:val="nil"/>
            </w:tcBorders>
            <w:shd w:val="clear" w:color="000000" w:fill="FFFFFF"/>
            <w:noWrap/>
            <w:hideMark/>
          </w:tcPr>
          <w:p w14:paraId="150D5DB4" w14:textId="77777777" w:rsidR="00AD7A82" w:rsidRPr="00AD7A82" w:rsidRDefault="00AD7A82">
            <w:pPr>
              <w:rPr>
                <w:rFonts w:ascii="Segoe UI" w:hAnsi="Segoe UI" w:cs="Segoe UI"/>
                <w:b/>
                <w:bCs/>
                <w:sz w:val="18"/>
                <w:szCs w:val="18"/>
              </w:rPr>
            </w:pPr>
            <w:r w:rsidRPr="00AD7A82">
              <w:rPr>
                <w:rFonts w:ascii="Segoe UI" w:hAnsi="Segoe UI" w:cs="Segoe UI"/>
                <w:b/>
                <w:bCs/>
                <w:sz w:val="18"/>
                <w:szCs w:val="18"/>
              </w:rPr>
              <w:t xml:space="preserve"> Total Región Andina </w:t>
            </w:r>
          </w:p>
        </w:tc>
        <w:tc>
          <w:tcPr>
            <w:tcW w:w="1799" w:type="dxa"/>
            <w:tcBorders>
              <w:top w:val="single" w:sz="4" w:space="0" w:color="auto"/>
              <w:left w:val="nil"/>
              <w:bottom w:val="nil"/>
              <w:right w:val="nil"/>
            </w:tcBorders>
            <w:shd w:val="clear" w:color="000000" w:fill="FFFFFF"/>
            <w:noWrap/>
            <w:hideMark/>
          </w:tcPr>
          <w:p w14:paraId="3CD080F5"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10.240.395     </w:t>
            </w:r>
          </w:p>
        </w:tc>
        <w:tc>
          <w:tcPr>
            <w:tcW w:w="1738" w:type="dxa"/>
            <w:tcBorders>
              <w:top w:val="single" w:sz="4" w:space="0" w:color="auto"/>
              <w:left w:val="nil"/>
              <w:bottom w:val="nil"/>
              <w:right w:val="single" w:sz="4" w:space="0" w:color="auto"/>
            </w:tcBorders>
            <w:shd w:val="clear" w:color="000000" w:fill="FFFFFF"/>
            <w:noWrap/>
            <w:hideMark/>
          </w:tcPr>
          <w:p w14:paraId="25F0042F"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0,60 </w:t>
            </w:r>
          </w:p>
        </w:tc>
        <w:tc>
          <w:tcPr>
            <w:tcW w:w="155" w:type="dxa"/>
            <w:vAlign w:val="center"/>
            <w:hideMark/>
          </w:tcPr>
          <w:p w14:paraId="03DD3600" w14:textId="77777777" w:rsidR="00AD7A82" w:rsidRPr="00AD7A82" w:rsidRDefault="00AD7A82">
            <w:pPr>
              <w:rPr>
                <w:sz w:val="18"/>
                <w:szCs w:val="18"/>
              </w:rPr>
            </w:pPr>
          </w:p>
        </w:tc>
      </w:tr>
      <w:tr w:rsidR="00AD7A82" w:rsidRPr="00AD7A82" w14:paraId="4C9888D7"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75AD5D8C"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5     </w:t>
            </w:r>
          </w:p>
        </w:tc>
        <w:tc>
          <w:tcPr>
            <w:tcW w:w="2906" w:type="dxa"/>
            <w:tcBorders>
              <w:top w:val="nil"/>
              <w:left w:val="nil"/>
              <w:bottom w:val="nil"/>
              <w:right w:val="nil"/>
            </w:tcBorders>
            <w:shd w:val="clear" w:color="000000" w:fill="FFFFFF"/>
            <w:noWrap/>
            <w:vAlign w:val="center"/>
            <w:hideMark/>
          </w:tcPr>
          <w:p w14:paraId="16EAC9AF"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Antioquia </w:t>
            </w:r>
          </w:p>
        </w:tc>
        <w:tc>
          <w:tcPr>
            <w:tcW w:w="1799" w:type="dxa"/>
            <w:tcBorders>
              <w:top w:val="nil"/>
              <w:left w:val="nil"/>
              <w:bottom w:val="nil"/>
              <w:right w:val="nil"/>
            </w:tcBorders>
            <w:shd w:val="clear" w:color="000000" w:fill="FFFFFF"/>
            <w:noWrap/>
            <w:vAlign w:val="center"/>
            <w:hideMark/>
          </w:tcPr>
          <w:p w14:paraId="484801EF"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3.298.391     </w:t>
            </w:r>
          </w:p>
        </w:tc>
        <w:tc>
          <w:tcPr>
            <w:tcW w:w="1738" w:type="dxa"/>
            <w:tcBorders>
              <w:top w:val="nil"/>
              <w:left w:val="nil"/>
              <w:bottom w:val="nil"/>
              <w:right w:val="single" w:sz="4" w:space="0" w:color="auto"/>
            </w:tcBorders>
            <w:shd w:val="clear" w:color="000000" w:fill="FFFFFF"/>
            <w:noWrap/>
            <w:vAlign w:val="center"/>
            <w:hideMark/>
          </w:tcPr>
          <w:p w14:paraId="0D7F12FB"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0,19 </w:t>
            </w:r>
          </w:p>
        </w:tc>
        <w:tc>
          <w:tcPr>
            <w:tcW w:w="155" w:type="dxa"/>
            <w:vAlign w:val="center"/>
            <w:hideMark/>
          </w:tcPr>
          <w:p w14:paraId="5F07E2E6" w14:textId="77777777" w:rsidR="00AD7A82" w:rsidRPr="00AD7A82" w:rsidRDefault="00AD7A82">
            <w:pPr>
              <w:rPr>
                <w:sz w:val="18"/>
                <w:szCs w:val="18"/>
              </w:rPr>
            </w:pPr>
          </w:p>
        </w:tc>
      </w:tr>
      <w:tr w:rsidR="00AD7A82" w:rsidRPr="00AD7A82" w14:paraId="384B91D0"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12C6808B"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15     </w:t>
            </w:r>
          </w:p>
        </w:tc>
        <w:tc>
          <w:tcPr>
            <w:tcW w:w="2906" w:type="dxa"/>
            <w:tcBorders>
              <w:top w:val="nil"/>
              <w:left w:val="nil"/>
              <w:bottom w:val="nil"/>
              <w:right w:val="nil"/>
            </w:tcBorders>
            <w:shd w:val="clear" w:color="000000" w:fill="F2F2F2"/>
            <w:noWrap/>
            <w:vAlign w:val="center"/>
            <w:hideMark/>
          </w:tcPr>
          <w:p w14:paraId="643DFF34"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Boyacá </w:t>
            </w:r>
          </w:p>
        </w:tc>
        <w:tc>
          <w:tcPr>
            <w:tcW w:w="1799" w:type="dxa"/>
            <w:tcBorders>
              <w:top w:val="nil"/>
              <w:left w:val="nil"/>
              <w:bottom w:val="nil"/>
              <w:right w:val="nil"/>
            </w:tcBorders>
            <w:shd w:val="clear" w:color="000000" w:fill="F2F2F2"/>
            <w:noWrap/>
            <w:vAlign w:val="center"/>
            <w:hideMark/>
          </w:tcPr>
          <w:p w14:paraId="39745C43"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1.342.669     </w:t>
            </w:r>
          </w:p>
        </w:tc>
        <w:tc>
          <w:tcPr>
            <w:tcW w:w="1738" w:type="dxa"/>
            <w:tcBorders>
              <w:top w:val="nil"/>
              <w:left w:val="nil"/>
              <w:bottom w:val="nil"/>
              <w:right w:val="single" w:sz="4" w:space="0" w:color="auto"/>
            </w:tcBorders>
            <w:shd w:val="clear" w:color="000000" w:fill="F2F2F2"/>
            <w:noWrap/>
            <w:vAlign w:val="center"/>
            <w:hideMark/>
          </w:tcPr>
          <w:p w14:paraId="40043F2C"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0,08 </w:t>
            </w:r>
          </w:p>
        </w:tc>
        <w:tc>
          <w:tcPr>
            <w:tcW w:w="155" w:type="dxa"/>
            <w:vAlign w:val="center"/>
            <w:hideMark/>
          </w:tcPr>
          <w:p w14:paraId="7DF843BC" w14:textId="77777777" w:rsidR="00AD7A82" w:rsidRPr="00AD7A82" w:rsidRDefault="00AD7A82">
            <w:pPr>
              <w:rPr>
                <w:sz w:val="18"/>
                <w:szCs w:val="18"/>
              </w:rPr>
            </w:pPr>
          </w:p>
        </w:tc>
      </w:tr>
      <w:tr w:rsidR="00AD7A82" w:rsidRPr="00AD7A82" w14:paraId="3CD2C30F"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46259E9F"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17     </w:t>
            </w:r>
          </w:p>
        </w:tc>
        <w:tc>
          <w:tcPr>
            <w:tcW w:w="2906" w:type="dxa"/>
            <w:tcBorders>
              <w:top w:val="nil"/>
              <w:left w:val="nil"/>
              <w:bottom w:val="nil"/>
              <w:right w:val="nil"/>
            </w:tcBorders>
            <w:shd w:val="clear" w:color="000000" w:fill="FFFFFF"/>
            <w:noWrap/>
            <w:vAlign w:val="center"/>
            <w:hideMark/>
          </w:tcPr>
          <w:p w14:paraId="2C430D3C"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Caldas </w:t>
            </w:r>
          </w:p>
        </w:tc>
        <w:tc>
          <w:tcPr>
            <w:tcW w:w="1799" w:type="dxa"/>
            <w:tcBorders>
              <w:top w:val="nil"/>
              <w:left w:val="nil"/>
              <w:bottom w:val="nil"/>
              <w:right w:val="nil"/>
            </w:tcBorders>
            <w:shd w:val="clear" w:color="000000" w:fill="FFFFFF"/>
            <w:noWrap/>
            <w:vAlign w:val="center"/>
            <w:hideMark/>
          </w:tcPr>
          <w:p w14:paraId="235F779D"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401.338     </w:t>
            </w:r>
          </w:p>
        </w:tc>
        <w:tc>
          <w:tcPr>
            <w:tcW w:w="1738" w:type="dxa"/>
            <w:tcBorders>
              <w:top w:val="nil"/>
              <w:left w:val="nil"/>
              <w:bottom w:val="nil"/>
              <w:right w:val="single" w:sz="4" w:space="0" w:color="auto"/>
            </w:tcBorders>
            <w:shd w:val="clear" w:color="000000" w:fill="FFFFFF"/>
            <w:noWrap/>
            <w:vAlign w:val="center"/>
            <w:hideMark/>
          </w:tcPr>
          <w:p w14:paraId="207C7A15"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0,02 </w:t>
            </w:r>
          </w:p>
        </w:tc>
        <w:tc>
          <w:tcPr>
            <w:tcW w:w="155" w:type="dxa"/>
            <w:vAlign w:val="center"/>
            <w:hideMark/>
          </w:tcPr>
          <w:p w14:paraId="62644C5F" w14:textId="77777777" w:rsidR="00AD7A82" w:rsidRPr="00AD7A82" w:rsidRDefault="00AD7A82">
            <w:pPr>
              <w:rPr>
                <w:sz w:val="18"/>
                <w:szCs w:val="18"/>
              </w:rPr>
            </w:pPr>
          </w:p>
        </w:tc>
      </w:tr>
      <w:tr w:rsidR="00AD7A82" w:rsidRPr="00AD7A82" w14:paraId="6524F57A"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7C91FB86"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25     </w:t>
            </w:r>
          </w:p>
        </w:tc>
        <w:tc>
          <w:tcPr>
            <w:tcW w:w="2906" w:type="dxa"/>
            <w:tcBorders>
              <w:top w:val="nil"/>
              <w:left w:val="nil"/>
              <w:bottom w:val="nil"/>
              <w:right w:val="nil"/>
            </w:tcBorders>
            <w:shd w:val="clear" w:color="000000" w:fill="F2F2F2"/>
            <w:noWrap/>
            <w:vAlign w:val="center"/>
            <w:hideMark/>
          </w:tcPr>
          <w:p w14:paraId="076B4529"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Cundinamarca </w:t>
            </w:r>
          </w:p>
        </w:tc>
        <w:tc>
          <w:tcPr>
            <w:tcW w:w="1799" w:type="dxa"/>
            <w:tcBorders>
              <w:top w:val="nil"/>
              <w:left w:val="nil"/>
              <w:bottom w:val="nil"/>
              <w:right w:val="nil"/>
            </w:tcBorders>
            <w:shd w:val="clear" w:color="000000" w:fill="F2F2F2"/>
            <w:noWrap/>
            <w:vAlign w:val="center"/>
            <w:hideMark/>
          </w:tcPr>
          <w:p w14:paraId="3948E493"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1.811.535     </w:t>
            </w:r>
          </w:p>
        </w:tc>
        <w:tc>
          <w:tcPr>
            <w:tcW w:w="1738" w:type="dxa"/>
            <w:tcBorders>
              <w:top w:val="nil"/>
              <w:left w:val="nil"/>
              <w:bottom w:val="nil"/>
              <w:right w:val="single" w:sz="4" w:space="0" w:color="auto"/>
            </w:tcBorders>
            <w:shd w:val="clear" w:color="000000" w:fill="F2F2F2"/>
            <w:noWrap/>
            <w:vAlign w:val="center"/>
            <w:hideMark/>
          </w:tcPr>
          <w:p w14:paraId="3C75BB76"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0,11 </w:t>
            </w:r>
          </w:p>
        </w:tc>
        <w:tc>
          <w:tcPr>
            <w:tcW w:w="155" w:type="dxa"/>
            <w:vAlign w:val="center"/>
            <w:hideMark/>
          </w:tcPr>
          <w:p w14:paraId="0BA57277" w14:textId="77777777" w:rsidR="00AD7A82" w:rsidRPr="00AD7A82" w:rsidRDefault="00AD7A82">
            <w:pPr>
              <w:rPr>
                <w:sz w:val="18"/>
                <w:szCs w:val="18"/>
              </w:rPr>
            </w:pPr>
          </w:p>
        </w:tc>
      </w:tr>
      <w:tr w:rsidR="00AD7A82" w:rsidRPr="00AD7A82" w14:paraId="2FAA91A3"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55EA36A4"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41     </w:t>
            </w:r>
          </w:p>
        </w:tc>
        <w:tc>
          <w:tcPr>
            <w:tcW w:w="2906" w:type="dxa"/>
            <w:tcBorders>
              <w:top w:val="nil"/>
              <w:left w:val="nil"/>
              <w:bottom w:val="nil"/>
              <w:right w:val="nil"/>
            </w:tcBorders>
            <w:shd w:val="clear" w:color="000000" w:fill="FFFFFF"/>
            <w:noWrap/>
            <w:vAlign w:val="center"/>
            <w:hideMark/>
          </w:tcPr>
          <w:p w14:paraId="153F0BF2"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Huila </w:t>
            </w:r>
          </w:p>
        </w:tc>
        <w:tc>
          <w:tcPr>
            <w:tcW w:w="1799" w:type="dxa"/>
            <w:tcBorders>
              <w:top w:val="nil"/>
              <w:left w:val="nil"/>
              <w:bottom w:val="nil"/>
              <w:right w:val="nil"/>
            </w:tcBorders>
            <w:shd w:val="clear" w:color="000000" w:fill="FFFFFF"/>
            <w:noWrap/>
            <w:vAlign w:val="center"/>
            <w:hideMark/>
          </w:tcPr>
          <w:p w14:paraId="2EB9F8A4"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431.286     </w:t>
            </w:r>
          </w:p>
        </w:tc>
        <w:tc>
          <w:tcPr>
            <w:tcW w:w="1738" w:type="dxa"/>
            <w:tcBorders>
              <w:top w:val="nil"/>
              <w:left w:val="nil"/>
              <w:bottom w:val="nil"/>
              <w:right w:val="single" w:sz="4" w:space="0" w:color="auto"/>
            </w:tcBorders>
            <w:shd w:val="clear" w:color="000000" w:fill="FFFFFF"/>
            <w:noWrap/>
            <w:vAlign w:val="center"/>
            <w:hideMark/>
          </w:tcPr>
          <w:p w14:paraId="2F84681F"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0,03 </w:t>
            </w:r>
          </w:p>
        </w:tc>
        <w:tc>
          <w:tcPr>
            <w:tcW w:w="155" w:type="dxa"/>
            <w:vAlign w:val="center"/>
            <w:hideMark/>
          </w:tcPr>
          <w:p w14:paraId="059B3E1D" w14:textId="77777777" w:rsidR="00AD7A82" w:rsidRPr="00AD7A82" w:rsidRDefault="00AD7A82">
            <w:pPr>
              <w:rPr>
                <w:sz w:val="18"/>
                <w:szCs w:val="18"/>
              </w:rPr>
            </w:pPr>
          </w:p>
        </w:tc>
      </w:tr>
      <w:tr w:rsidR="00AD7A82" w:rsidRPr="00AD7A82" w14:paraId="424AB982"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3DA1EF69"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54     </w:t>
            </w:r>
          </w:p>
        </w:tc>
        <w:tc>
          <w:tcPr>
            <w:tcW w:w="2906" w:type="dxa"/>
            <w:tcBorders>
              <w:top w:val="nil"/>
              <w:left w:val="nil"/>
              <w:bottom w:val="nil"/>
              <w:right w:val="nil"/>
            </w:tcBorders>
            <w:shd w:val="clear" w:color="000000" w:fill="F2F2F2"/>
            <w:noWrap/>
            <w:vAlign w:val="center"/>
            <w:hideMark/>
          </w:tcPr>
          <w:p w14:paraId="086A56C8"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Norte De Santander </w:t>
            </w:r>
          </w:p>
        </w:tc>
        <w:tc>
          <w:tcPr>
            <w:tcW w:w="1799" w:type="dxa"/>
            <w:tcBorders>
              <w:top w:val="nil"/>
              <w:left w:val="nil"/>
              <w:bottom w:val="nil"/>
              <w:right w:val="nil"/>
            </w:tcBorders>
            <w:shd w:val="clear" w:color="000000" w:fill="F2F2F2"/>
            <w:noWrap/>
            <w:vAlign w:val="center"/>
            <w:hideMark/>
          </w:tcPr>
          <w:p w14:paraId="728FDCA4"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450.779     </w:t>
            </w:r>
          </w:p>
        </w:tc>
        <w:tc>
          <w:tcPr>
            <w:tcW w:w="1738" w:type="dxa"/>
            <w:tcBorders>
              <w:top w:val="nil"/>
              <w:left w:val="nil"/>
              <w:bottom w:val="nil"/>
              <w:right w:val="single" w:sz="4" w:space="0" w:color="auto"/>
            </w:tcBorders>
            <w:shd w:val="clear" w:color="000000" w:fill="F2F2F2"/>
            <w:noWrap/>
            <w:vAlign w:val="center"/>
            <w:hideMark/>
          </w:tcPr>
          <w:p w14:paraId="1410834E"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0,03 </w:t>
            </w:r>
          </w:p>
        </w:tc>
        <w:tc>
          <w:tcPr>
            <w:tcW w:w="155" w:type="dxa"/>
            <w:vAlign w:val="center"/>
            <w:hideMark/>
          </w:tcPr>
          <w:p w14:paraId="588A0766" w14:textId="77777777" w:rsidR="00AD7A82" w:rsidRPr="00AD7A82" w:rsidRDefault="00AD7A82">
            <w:pPr>
              <w:rPr>
                <w:sz w:val="18"/>
                <w:szCs w:val="18"/>
              </w:rPr>
            </w:pPr>
          </w:p>
        </w:tc>
      </w:tr>
      <w:tr w:rsidR="00AD7A82" w:rsidRPr="00AD7A82" w14:paraId="2E18F6C9"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47BB87D1"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63     </w:t>
            </w:r>
          </w:p>
        </w:tc>
        <w:tc>
          <w:tcPr>
            <w:tcW w:w="2906" w:type="dxa"/>
            <w:tcBorders>
              <w:top w:val="nil"/>
              <w:left w:val="nil"/>
              <w:bottom w:val="nil"/>
              <w:right w:val="nil"/>
            </w:tcBorders>
            <w:shd w:val="clear" w:color="000000" w:fill="FFFFFF"/>
            <w:noWrap/>
            <w:vAlign w:val="center"/>
            <w:hideMark/>
          </w:tcPr>
          <w:p w14:paraId="005643BB"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Quindío </w:t>
            </w:r>
          </w:p>
        </w:tc>
        <w:tc>
          <w:tcPr>
            <w:tcW w:w="1799" w:type="dxa"/>
            <w:tcBorders>
              <w:top w:val="nil"/>
              <w:left w:val="nil"/>
              <w:bottom w:val="nil"/>
              <w:right w:val="nil"/>
            </w:tcBorders>
            <w:shd w:val="clear" w:color="000000" w:fill="FFFFFF"/>
            <w:noWrap/>
            <w:vAlign w:val="center"/>
            <w:hideMark/>
          </w:tcPr>
          <w:p w14:paraId="08711881"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449.728     </w:t>
            </w:r>
          </w:p>
        </w:tc>
        <w:tc>
          <w:tcPr>
            <w:tcW w:w="1738" w:type="dxa"/>
            <w:tcBorders>
              <w:top w:val="nil"/>
              <w:left w:val="nil"/>
              <w:bottom w:val="nil"/>
              <w:right w:val="single" w:sz="4" w:space="0" w:color="auto"/>
            </w:tcBorders>
            <w:shd w:val="clear" w:color="000000" w:fill="FFFFFF"/>
            <w:noWrap/>
            <w:vAlign w:val="center"/>
            <w:hideMark/>
          </w:tcPr>
          <w:p w14:paraId="75C5CFD9"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0,03 </w:t>
            </w:r>
          </w:p>
        </w:tc>
        <w:tc>
          <w:tcPr>
            <w:tcW w:w="155" w:type="dxa"/>
            <w:vAlign w:val="center"/>
            <w:hideMark/>
          </w:tcPr>
          <w:p w14:paraId="40C3AEE2" w14:textId="77777777" w:rsidR="00AD7A82" w:rsidRPr="00AD7A82" w:rsidRDefault="00AD7A82">
            <w:pPr>
              <w:rPr>
                <w:sz w:val="18"/>
                <w:szCs w:val="18"/>
              </w:rPr>
            </w:pPr>
          </w:p>
        </w:tc>
      </w:tr>
      <w:tr w:rsidR="00AD7A82" w:rsidRPr="00AD7A82" w14:paraId="2FE87ACA"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0EC038F7"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66     </w:t>
            </w:r>
          </w:p>
        </w:tc>
        <w:tc>
          <w:tcPr>
            <w:tcW w:w="2906" w:type="dxa"/>
            <w:tcBorders>
              <w:top w:val="nil"/>
              <w:left w:val="nil"/>
              <w:bottom w:val="nil"/>
              <w:right w:val="nil"/>
            </w:tcBorders>
            <w:shd w:val="clear" w:color="000000" w:fill="F2F2F2"/>
            <w:noWrap/>
            <w:vAlign w:val="center"/>
            <w:hideMark/>
          </w:tcPr>
          <w:p w14:paraId="7F561B31"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Risaralda </w:t>
            </w:r>
          </w:p>
        </w:tc>
        <w:tc>
          <w:tcPr>
            <w:tcW w:w="1799" w:type="dxa"/>
            <w:tcBorders>
              <w:top w:val="nil"/>
              <w:left w:val="nil"/>
              <w:bottom w:val="nil"/>
              <w:right w:val="nil"/>
            </w:tcBorders>
            <w:shd w:val="clear" w:color="000000" w:fill="F2F2F2"/>
            <w:noWrap/>
            <w:vAlign w:val="center"/>
            <w:hideMark/>
          </w:tcPr>
          <w:p w14:paraId="255E213C"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208.442     </w:t>
            </w:r>
          </w:p>
        </w:tc>
        <w:tc>
          <w:tcPr>
            <w:tcW w:w="1738" w:type="dxa"/>
            <w:tcBorders>
              <w:top w:val="nil"/>
              <w:left w:val="nil"/>
              <w:bottom w:val="nil"/>
              <w:right w:val="single" w:sz="4" w:space="0" w:color="auto"/>
            </w:tcBorders>
            <w:shd w:val="clear" w:color="000000" w:fill="F2F2F2"/>
            <w:noWrap/>
            <w:vAlign w:val="center"/>
            <w:hideMark/>
          </w:tcPr>
          <w:p w14:paraId="272DCD25"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0,01 </w:t>
            </w:r>
          </w:p>
        </w:tc>
        <w:tc>
          <w:tcPr>
            <w:tcW w:w="155" w:type="dxa"/>
            <w:vAlign w:val="center"/>
            <w:hideMark/>
          </w:tcPr>
          <w:p w14:paraId="2323CFD2" w14:textId="77777777" w:rsidR="00AD7A82" w:rsidRPr="00AD7A82" w:rsidRDefault="00AD7A82">
            <w:pPr>
              <w:rPr>
                <w:sz w:val="18"/>
                <w:szCs w:val="18"/>
              </w:rPr>
            </w:pPr>
          </w:p>
        </w:tc>
      </w:tr>
      <w:tr w:rsidR="00AD7A82" w:rsidRPr="00AD7A82" w14:paraId="62AB2306"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04BB6683"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68     </w:t>
            </w:r>
          </w:p>
        </w:tc>
        <w:tc>
          <w:tcPr>
            <w:tcW w:w="2906" w:type="dxa"/>
            <w:tcBorders>
              <w:top w:val="nil"/>
              <w:left w:val="nil"/>
              <w:bottom w:val="nil"/>
              <w:right w:val="nil"/>
            </w:tcBorders>
            <w:shd w:val="clear" w:color="000000" w:fill="FFFFFF"/>
            <w:noWrap/>
            <w:vAlign w:val="center"/>
            <w:hideMark/>
          </w:tcPr>
          <w:p w14:paraId="24585BE0"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Santander </w:t>
            </w:r>
          </w:p>
        </w:tc>
        <w:tc>
          <w:tcPr>
            <w:tcW w:w="1799" w:type="dxa"/>
            <w:tcBorders>
              <w:top w:val="nil"/>
              <w:left w:val="nil"/>
              <w:bottom w:val="nil"/>
              <w:right w:val="nil"/>
            </w:tcBorders>
            <w:shd w:val="clear" w:color="000000" w:fill="FFFFFF"/>
            <w:noWrap/>
            <w:vAlign w:val="center"/>
            <w:hideMark/>
          </w:tcPr>
          <w:p w14:paraId="6CC96143"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744.809     </w:t>
            </w:r>
          </w:p>
        </w:tc>
        <w:tc>
          <w:tcPr>
            <w:tcW w:w="1738" w:type="dxa"/>
            <w:tcBorders>
              <w:top w:val="nil"/>
              <w:left w:val="nil"/>
              <w:bottom w:val="nil"/>
              <w:right w:val="single" w:sz="4" w:space="0" w:color="auto"/>
            </w:tcBorders>
            <w:shd w:val="clear" w:color="000000" w:fill="FFFFFF"/>
            <w:noWrap/>
            <w:vAlign w:val="center"/>
            <w:hideMark/>
          </w:tcPr>
          <w:p w14:paraId="04A52CB9"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0,04 </w:t>
            </w:r>
          </w:p>
        </w:tc>
        <w:tc>
          <w:tcPr>
            <w:tcW w:w="155" w:type="dxa"/>
            <w:vAlign w:val="center"/>
            <w:hideMark/>
          </w:tcPr>
          <w:p w14:paraId="4FB15F8A" w14:textId="77777777" w:rsidR="00AD7A82" w:rsidRPr="00AD7A82" w:rsidRDefault="00AD7A82">
            <w:pPr>
              <w:rPr>
                <w:sz w:val="18"/>
                <w:szCs w:val="18"/>
              </w:rPr>
            </w:pPr>
          </w:p>
        </w:tc>
      </w:tr>
      <w:tr w:rsidR="00AD7A82" w:rsidRPr="00AD7A82" w14:paraId="3BD35C25"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5A6B7A9D"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73     </w:t>
            </w:r>
          </w:p>
        </w:tc>
        <w:tc>
          <w:tcPr>
            <w:tcW w:w="2906" w:type="dxa"/>
            <w:tcBorders>
              <w:top w:val="nil"/>
              <w:left w:val="nil"/>
              <w:bottom w:val="single" w:sz="4" w:space="0" w:color="auto"/>
              <w:right w:val="nil"/>
            </w:tcBorders>
            <w:shd w:val="clear" w:color="000000" w:fill="F2F2F2"/>
            <w:noWrap/>
            <w:vAlign w:val="center"/>
            <w:hideMark/>
          </w:tcPr>
          <w:p w14:paraId="684BC647"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Tolima </w:t>
            </w:r>
          </w:p>
        </w:tc>
        <w:tc>
          <w:tcPr>
            <w:tcW w:w="1799" w:type="dxa"/>
            <w:tcBorders>
              <w:top w:val="nil"/>
              <w:left w:val="nil"/>
              <w:bottom w:val="single" w:sz="4" w:space="0" w:color="auto"/>
              <w:right w:val="nil"/>
            </w:tcBorders>
            <w:shd w:val="clear" w:color="000000" w:fill="F2F2F2"/>
            <w:noWrap/>
            <w:vAlign w:val="center"/>
            <w:hideMark/>
          </w:tcPr>
          <w:p w14:paraId="3E028B8D"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1.101.419     </w:t>
            </w:r>
          </w:p>
        </w:tc>
        <w:tc>
          <w:tcPr>
            <w:tcW w:w="1738" w:type="dxa"/>
            <w:tcBorders>
              <w:top w:val="nil"/>
              <w:left w:val="nil"/>
              <w:bottom w:val="single" w:sz="4" w:space="0" w:color="auto"/>
              <w:right w:val="single" w:sz="4" w:space="0" w:color="auto"/>
            </w:tcBorders>
            <w:shd w:val="clear" w:color="000000" w:fill="F2F2F2"/>
            <w:noWrap/>
            <w:vAlign w:val="center"/>
            <w:hideMark/>
          </w:tcPr>
          <w:p w14:paraId="02B0806F"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0,06 </w:t>
            </w:r>
          </w:p>
        </w:tc>
        <w:tc>
          <w:tcPr>
            <w:tcW w:w="155" w:type="dxa"/>
            <w:vAlign w:val="center"/>
            <w:hideMark/>
          </w:tcPr>
          <w:p w14:paraId="483BDE7E" w14:textId="77777777" w:rsidR="00AD7A82" w:rsidRPr="00AD7A82" w:rsidRDefault="00AD7A82">
            <w:pPr>
              <w:rPr>
                <w:sz w:val="18"/>
                <w:szCs w:val="18"/>
              </w:rPr>
            </w:pPr>
          </w:p>
        </w:tc>
      </w:tr>
      <w:tr w:rsidR="00AD7A82" w:rsidRPr="00AD7A82" w14:paraId="4F0F9194" w14:textId="77777777" w:rsidTr="00AD7A82">
        <w:trPr>
          <w:trHeight w:val="268"/>
          <w:jc w:val="center"/>
        </w:trPr>
        <w:tc>
          <w:tcPr>
            <w:tcW w:w="1351" w:type="dxa"/>
            <w:tcBorders>
              <w:top w:val="single" w:sz="4" w:space="0" w:color="auto"/>
              <w:left w:val="single" w:sz="4" w:space="0" w:color="auto"/>
              <w:bottom w:val="nil"/>
              <w:right w:val="nil"/>
            </w:tcBorders>
            <w:shd w:val="clear" w:color="000000" w:fill="FFFFFF"/>
            <w:noWrap/>
            <w:vAlign w:val="center"/>
            <w:hideMark/>
          </w:tcPr>
          <w:p w14:paraId="3682D627" w14:textId="77777777" w:rsidR="00AD7A82" w:rsidRPr="00AD7A82" w:rsidRDefault="00AD7A82">
            <w:pPr>
              <w:rPr>
                <w:rFonts w:ascii="Segoe UI" w:hAnsi="Segoe UI" w:cs="Segoe UI"/>
                <w:b/>
                <w:bCs/>
                <w:sz w:val="18"/>
                <w:szCs w:val="18"/>
              </w:rPr>
            </w:pPr>
            <w:r w:rsidRPr="00AD7A82">
              <w:rPr>
                <w:rFonts w:ascii="Segoe UI" w:hAnsi="Segoe UI" w:cs="Segoe UI"/>
                <w:b/>
                <w:bCs/>
                <w:sz w:val="18"/>
                <w:szCs w:val="18"/>
              </w:rPr>
              <w:t> </w:t>
            </w:r>
          </w:p>
        </w:tc>
        <w:tc>
          <w:tcPr>
            <w:tcW w:w="2906" w:type="dxa"/>
            <w:tcBorders>
              <w:top w:val="nil"/>
              <w:left w:val="nil"/>
              <w:bottom w:val="nil"/>
              <w:right w:val="nil"/>
            </w:tcBorders>
            <w:shd w:val="clear" w:color="000000" w:fill="FFFFFF"/>
            <w:noWrap/>
            <w:hideMark/>
          </w:tcPr>
          <w:p w14:paraId="545E606C" w14:textId="77777777" w:rsidR="00AD7A82" w:rsidRPr="00AD7A82" w:rsidRDefault="00AD7A82">
            <w:pPr>
              <w:rPr>
                <w:rFonts w:ascii="Segoe UI" w:hAnsi="Segoe UI" w:cs="Segoe UI"/>
                <w:b/>
                <w:bCs/>
                <w:sz w:val="18"/>
                <w:szCs w:val="18"/>
              </w:rPr>
            </w:pPr>
            <w:r w:rsidRPr="00AD7A82">
              <w:rPr>
                <w:rFonts w:ascii="Segoe UI" w:hAnsi="Segoe UI" w:cs="Segoe UI"/>
                <w:b/>
                <w:bCs/>
                <w:sz w:val="18"/>
                <w:szCs w:val="18"/>
              </w:rPr>
              <w:t xml:space="preserve"> Total Región Caribe </w:t>
            </w:r>
          </w:p>
        </w:tc>
        <w:tc>
          <w:tcPr>
            <w:tcW w:w="1799" w:type="dxa"/>
            <w:tcBorders>
              <w:top w:val="nil"/>
              <w:left w:val="nil"/>
              <w:bottom w:val="nil"/>
              <w:right w:val="nil"/>
            </w:tcBorders>
            <w:shd w:val="clear" w:color="000000" w:fill="FFFFFF"/>
            <w:noWrap/>
            <w:hideMark/>
          </w:tcPr>
          <w:p w14:paraId="43A5E94C"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2.706.305     </w:t>
            </w:r>
          </w:p>
        </w:tc>
        <w:tc>
          <w:tcPr>
            <w:tcW w:w="1738" w:type="dxa"/>
            <w:tcBorders>
              <w:top w:val="nil"/>
              <w:left w:val="nil"/>
              <w:bottom w:val="nil"/>
              <w:right w:val="single" w:sz="4" w:space="0" w:color="auto"/>
            </w:tcBorders>
            <w:shd w:val="clear" w:color="000000" w:fill="FFFFFF"/>
            <w:noWrap/>
            <w:hideMark/>
          </w:tcPr>
          <w:p w14:paraId="4EF3EF30"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0,16 </w:t>
            </w:r>
          </w:p>
        </w:tc>
        <w:tc>
          <w:tcPr>
            <w:tcW w:w="155" w:type="dxa"/>
            <w:vAlign w:val="center"/>
            <w:hideMark/>
          </w:tcPr>
          <w:p w14:paraId="7F2BD176" w14:textId="77777777" w:rsidR="00AD7A82" w:rsidRPr="00AD7A82" w:rsidRDefault="00AD7A82">
            <w:pPr>
              <w:rPr>
                <w:sz w:val="18"/>
                <w:szCs w:val="18"/>
              </w:rPr>
            </w:pPr>
          </w:p>
        </w:tc>
      </w:tr>
      <w:tr w:rsidR="00AD7A82" w:rsidRPr="00AD7A82" w14:paraId="67D57D2D"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2350C265"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8     </w:t>
            </w:r>
          </w:p>
        </w:tc>
        <w:tc>
          <w:tcPr>
            <w:tcW w:w="2906" w:type="dxa"/>
            <w:tcBorders>
              <w:top w:val="nil"/>
              <w:left w:val="nil"/>
              <w:bottom w:val="nil"/>
              <w:right w:val="nil"/>
            </w:tcBorders>
            <w:shd w:val="clear" w:color="000000" w:fill="FFFFFF"/>
            <w:noWrap/>
            <w:vAlign w:val="center"/>
            <w:hideMark/>
          </w:tcPr>
          <w:p w14:paraId="6C3E582F"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Atlántico </w:t>
            </w:r>
          </w:p>
        </w:tc>
        <w:tc>
          <w:tcPr>
            <w:tcW w:w="1799" w:type="dxa"/>
            <w:tcBorders>
              <w:top w:val="nil"/>
              <w:left w:val="nil"/>
              <w:bottom w:val="nil"/>
              <w:right w:val="nil"/>
            </w:tcBorders>
            <w:shd w:val="clear" w:color="000000" w:fill="FFFFFF"/>
            <w:noWrap/>
            <w:vAlign w:val="center"/>
            <w:hideMark/>
          </w:tcPr>
          <w:p w14:paraId="2EC9E575"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79.222     </w:t>
            </w:r>
          </w:p>
        </w:tc>
        <w:tc>
          <w:tcPr>
            <w:tcW w:w="1738" w:type="dxa"/>
            <w:tcBorders>
              <w:top w:val="nil"/>
              <w:left w:val="nil"/>
              <w:bottom w:val="nil"/>
              <w:right w:val="single" w:sz="4" w:space="0" w:color="auto"/>
            </w:tcBorders>
            <w:shd w:val="clear" w:color="000000" w:fill="FFFFFF"/>
            <w:noWrap/>
            <w:vAlign w:val="center"/>
            <w:hideMark/>
          </w:tcPr>
          <w:p w14:paraId="12748004"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0,00 </w:t>
            </w:r>
          </w:p>
        </w:tc>
        <w:tc>
          <w:tcPr>
            <w:tcW w:w="155" w:type="dxa"/>
            <w:vAlign w:val="center"/>
            <w:hideMark/>
          </w:tcPr>
          <w:p w14:paraId="1A5FCA02" w14:textId="77777777" w:rsidR="00AD7A82" w:rsidRPr="00AD7A82" w:rsidRDefault="00AD7A82">
            <w:pPr>
              <w:rPr>
                <w:sz w:val="18"/>
                <w:szCs w:val="18"/>
              </w:rPr>
            </w:pPr>
          </w:p>
        </w:tc>
      </w:tr>
      <w:tr w:rsidR="00AD7A82" w:rsidRPr="00AD7A82" w14:paraId="39A616EE"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04300802"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88     </w:t>
            </w:r>
          </w:p>
        </w:tc>
        <w:tc>
          <w:tcPr>
            <w:tcW w:w="2906" w:type="dxa"/>
            <w:tcBorders>
              <w:top w:val="nil"/>
              <w:left w:val="nil"/>
              <w:bottom w:val="nil"/>
              <w:right w:val="nil"/>
            </w:tcBorders>
            <w:shd w:val="clear" w:color="000000" w:fill="F2F2F2"/>
            <w:noWrap/>
            <w:vAlign w:val="center"/>
            <w:hideMark/>
          </w:tcPr>
          <w:p w14:paraId="41AFF457"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Archipiélago De San Andrés </w:t>
            </w:r>
          </w:p>
        </w:tc>
        <w:tc>
          <w:tcPr>
            <w:tcW w:w="1799" w:type="dxa"/>
            <w:tcBorders>
              <w:top w:val="nil"/>
              <w:left w:val="nil"/>
              <w:bottom w:val="nil"/>
              <w:right w:val="nil"/>
            </w:tcBorders>
            <w:shd w:val="clear" w:color="000000" w:fill="F2F2F2"/>
            <w:noWrap/>
            <w:vAlign w:val="center"/>
            <w:hideMark/>
          </w:tcPr>
          <w:p w14:paraId="163D8F9D"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117     </w:t>
            </w:r>
          </w:p>
        </w:tc>
        <w:tc>
          <w:tcPr>
            <w:tcW w:w="1738" w:type="dxa"/>
            <w:tcBorders>
              <w:top w:val="nil"/>
              <w:left w:val="nil"/>
              <w:bottom w:val="nil"/>
              <w:right w:val="single" w:sz="4" w:space="0" w:color="auto"/>
            </w:tcBorders>
            <w:shd w:val="clear" w:color="000000" w:fill="F2F2F2"/>
            <w:noWrap/>
            <w:vAlign w:val="center"/>
            <w:hideMark/>
          </w:tcPr>
          <w:p w14:paraId="52BB43FD"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0,00 </w:t>
            </w:r>
          </w:p>
        </w:tc>
        <w:tc>
          <w:tcPr>
            <w:tcW w:w="155" w:type="dxa"/>
            <w:vAlign w:val="center"/>
            <w:hideMark/>
          </w:tcPr>
          <w:p w14:paraId="752C2576" w14:textId="77777777" w:rsidR="00AD7A82" w:rsidRPr="00AD7A82" w:rsidRDefault="00AD7A82">
            <w:pPr>
              <w:rPr>
                <w:sz w:val="18"/>
                <w:szCs w:val="18"/>
              </w:rPr>
            </w:pPr>
          </w:p>
        </w:tc>
      </w:tr>
      <w:tr w:rsidR="00AD7A82" w:rsidRPr="00AD7A82" w14:paraId="573DE3F5"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33CA7411"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13     </w:t>
            </w:r>
          </w:p>
        </w:tc>
        <w:tc>
          <w:tcPr>
            <w:tcW w:w="2906" w:type="dxa"/>
            <w:tcBorders>
              <w:top w:val="nil"/>
              <w:left w:val="nil"/>
              <w:bottom w:val="nil"/>
              <w:right w:val="nil"/>
            </w:tcBorders>
            <w:shd w:val="clear" w:color="000000" w:fill="FFFFFF"/>
            <w:noWrap/>
            <w:vAlign w:val="center"/>
            <w:hideMark/>
          </w:tcPr>
          <w:p w14:paraId="78D36E37"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Bolívar </w:t>
            </w:r>
          </w:p>
        </w:tc>
        <w:tc>
          <w:tcPr>
            <w:tcW w:w="1799" w:type="dxa"/>
            <w:tcBorders>
              <w:top w:val="nil"/>
              <w:left w:val="nil"/>
              <w:bottom w:val="nil"/>
              <w:right w:val="nil"/>
            </w:tcBorders>
            <w:shd w:val="clear" w:color="000000" w:fill="FFFFFF"/>
            <w:noWrap/>
            <w:vAlign w:val="center"/>
            <w:hideMark/>
          </w:tcPr>
          <w:p w14:paraId="62381D1A"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182.787     </w:t>
            </w:r>
          </w:p>
        </w:tc>
        <w:tc>
          <w:tcPr>
            <w:tcW w:w="1738" w:type="dxa"/>
            <w:tcBorders>
              <w:top w:val="nil"/>
              <w:left w:val="nil"/>
              <w:bottom w:val="nil"/>
              <w:right w:val="single" w:sz="4" w:space="0" w:color="auto"/>
            </w:tcBorders>
            <w:shd w:val="clear" w:color="000000" w:fill="FFFFFF"/>
            <w:noWrap/>
            <w:vAlign w:val="center"/>
            <w:hideMark/>
          </w:tcPr>
          <w:p w14:paraId="1DC168A8"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0,01 </w:t>
            </w:r>
          </w:p>
        </w:tc>
        <w:tc>
          <w:tcPr>
            <w:tcW w:w="155" w:type="dxa"/>
            <w:vAlign w:val="center"/>
            <w:hideMark/>
          </w:tcPr>
          <w:p w14:paraId="1FD8B253" w14:textId="77777777" w:rsidR="00AD7A82" w:rsidRPr="00AD7A82" w:rsidRDefault="00AD7A82">
            <w:pPr>
              <w:rPr>
                <w:sz w:val="18"/>
                <w:szCs w:val="18"/>
              </w:rPr>
            </w:pPr>
          </w:p>
        </w:tc>
      </w:tr>
      <w:tr w:rsidR="00AD7A82" w:rsidRPr="00AD7A82" w14:paraId="5207EB33"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7C5F049E"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20     </w:t>
            </w:r>
          </w:p>
        </w:tc>
        <w:tc>
          <w:tcPr>
            <w:tcW w:w="2906" w:type="dxa"/>
            <w:tcBorders>
              <w:top w:val="nil"/>
              <w:left w:val="nil"/>
              <w:bottom w:val="nil"/>
              <w:right w:val="nil"/>
            </w:tcBorders>
            <w:shd w:val="clear" w:color="000000" w:fill="F2F2F2"/>
            <w:noWrap/>
            <w:vAlign w:val="center"/>
            <w:hideMark/>
          </w:tcPr>
          <w:p w14:paraId="644120B3"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Cesar </w:t>
            </w:r>
          </w:p>
        </w:tc>
        <w:tc>
          <w:tcPr>
            <w:tcW w:w="1799" w:type="dxa"/>
            <w:tcBorders>
              <w:top w:val="nil"/>
              <w:left w:val="nil"/>
              <w:bottom w:val="nil"/>
              <w:right w:val="nil"/>
            </w:tcBorders>
            <w:shd w:val="clear" w:color="000000" w:fill="F2F2F2"/>
            <w:noWrap/>
            <w:vAlign w:val="center"/>
            <w:hideMark/>
          </w:tcPr>
          <w:p w14:paraId="3190643F"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258.167     </w:t>
            </w:r>
          </w:p>
        </w:tc>
        <w:tc>
          <w:tcPr>
            <w:tcW w:w="1738" w:type="dxa"/>
            <w:tcBorders>
              <w:top w:val="nil"/>
              <w:left w:val="nil"/>
              <w:bottom w:val="nil"/>
              <w:right w:val="single" w:sz="4" w:space="0" w:color="auto"/>
            </w:tcBorders>
            <w:shd w:val="clear" w:color="000000" w:fill="F2F2F2"/>
            <w:noWrap/>
            <w:vAlign w:val="center"/>
            <w:hideMark/>
          </w:tcPr>
          <w:p w14:paraId="0B6289F9"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0,02 </w:t>
            </w:r>
          </w:p>
        </w:tc>
        <w:tc>
          <w:tcPr>
            <w:tcW w:w="155" w:type="dxa"/>
            <w:vAlign w:val="center"/>
            <w:hideMark/>
          </w:tcPr>
          <w:p w14:paraId="5E53DB10" w14:textId="77777777" w:rsidR="00AD7A82" w:rsidRPr="00AD7A82" w:rsidRDefault="00AD7A82">
            <w:pPr>
              <w:rPr>
                <w:sz w:val="18"/>
                <w:szCs w:val="18"/>
              </w:rPr>
            </w:pPr>
          </w:p>
        </w:tc>
      </w:tr>
      <w:tr w:rsidR="00AD7A82" w:rsidRPr="00AD7A82" w14:paraId="2522E167"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14D6DD12"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23     </w:t>
            </w:r>
          </w:p>
        </w:tc>
        <w:tc>
          <w:tcPr>
            <w:tcW w:w="2906" w:type="dxa"/>
            <w:tcBorders>
              <w:top w:val="nil"/>
              <w:left w:val="nil"/>
              <w:bottom w:val="nil"/>
              <w:right w:val="nil"/>
            </w:tcBorders>
            <w:shd w:val="clear" w:color="000000" w:fill="FFFFFF"/>
            <w:noWrap/>
            <w:vAlign w:val="center"/>
            <w:hideMark/>
          </w:tcPr>
          <w:p w14:paraId="11EBB157"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Córdoba </w:t>
            </w:r>
          </w:p>
        </w:tc>
        <w:tc>
          <w:tcPr>
            <w:tcW w:w="1799" w:type="dxa"/>
            <w:tcBorders>
              <w:top w:val="nil"/>
              <w:left w:val="nil"/>
              <w:bottom w:val="nil"/>
              <w:right w:val="nil"/>
            </w:tcBorders>
            <w:shd w:val="clear" w:color="000000" w:fill="FFFFFF"/>
            <w:noWrap/>
            <w:vAlign w:val="center"/>
            <w:hideMark/>
          </w:tcPr>
          <w:p w14:paraId="19FF1A1E"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752.428     </w:t>
            </w:r>
          </w:p>
        </w:tc>
        <w:tc>
          <w:tcPr>
            <w:tcW w:w="1738" w:type="dxa"/>
            <w:tcBorders>
              <w:top w:val="nil"/>
              <w:left w:val="nil"/>
              <w:bottom w:val="nil"/>
              <w:right w:val="single" w:sz="4" w:space="0" w:color="auto"/>
            </w:tcBorders>
            <w:shd w:val="clear" w:color="000000" w:fill="FFFFFF"/>
            <w:noWrap/>
            <w:vAlign w:val="center"/>
            <w:hideMark/>
          </w:tcPr>
          <w:p w14:paraId="6A99BD9F"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0,04 </w:t>
            </w:r>
          </w:p>
        </w:tc>
        <w:tc>
          <w:tcPr>
            <w:tcW w:w="155" w:type="dxa"/>
            <w:vAlign w:val="center"/>
            <w:hideMark/>
          </w:tcPr>
          <w:p w14:paraId="270C7CF7" w14:textId="77777777" w:rsidR="00AD7A82" w:rsidRPr="00AD7A82" w:rsidRDefault="00AD7A82">
            <w:pPr>
              <w:rPr>
                <w:sz w:val="18"/>
                <w:szCs w:val="18"/>
              </w:rPr>
            </w:pPr>
          </w:p>
        </w:tc>
      </w:tr>
      <w:tr w:rsidR="00AD7A82" w:rsidRPr="00AD7A82" w14:paraId="614D108E"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462E05CF"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44     </w:t>
            </w:r>
          </w:p>
        </w:tc>
        <w:tc>
          <w:tcPr>
            <w:tcW w:w="2906" w:type="dxa"/>
            <w:tcBorders>
              <w:top w:val="nil"/>
              <w:left w:val="nil"/>
              <w:bottom w:val="nil"/>
              <w:right w:val="nil"/>
            </w:tcBorders>
            <w:shd w:val="clear" w:color="000000" w:fill="F2F2F2"/>
            <w:noWrap/>
            <w:vAlign w:val="center"/>
            <w:hideMark/>
          </w:tcPr>
          <w:p w14:paraId="6EA1A46C"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La Guajira </w:t>
            </w:r>
          </w:p>
        </w:tc>
        <w:tc>
          <w:tcPr>
            <w:tcW w:w="1799" w:type="dxa"/>
            <w:tcBorders>
              <w:top w:val="nil"/>
              <w:left w:val="nil"/>
              <w:bottom w:val="nil"/>
              <w:right w:val="nil"/>
            </w:tcBorders>
            <w:shd w:val="clear" w:color="000000" w:fill="F2F2F2"/>
            <w:noWrap/>
            <w:vAlign w:val="center"/>
            <w:hideMark/>
          </w:tcPr>
          <w:p w14:paraId="4A2DB55A"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161.792     </w:t>
            </w:r>
          </w:p>
        </w:tc>
        <w:tc>
          <w:tcPr>
            <w:tcW w:w="1738" w:type="dxa"/>
            <w:tcBorders>
              <w:top w:val="nil"/>
              <w:left w:val="nil"/>
              <w:bottom w:val="nil"/>
              <w:right w:val="single" w:sz="4" w:space="0" w:color="auto"/>
            </w:tcBorders>
            <w:shd w:val="clear" w:color="000000" w:fill="F2F2F2"/>
            <w:noWrap/>
            <w:vAlign w:val="center"/>
            <w:hideMark/>
          </w:tcPr>
          <w:p w14:paraId="569309BF"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0,01 </w:t>
            </w:r>
          </w:p>
        </w:tc>
        <w:tc>
          <w:tcPr>
            <w:tcW w:w="155" w:type="dxa"/>
            <w:vAlign w:val="center"/>
            <w:hideMark/>
          </w:tcPr>
          <w:p w14:paraId="61E9CC3C" w14:textId="77777777" w:rsidR="00AD7A82" w:rsidRPr="00AD7A82" w:rsidRDefault="00AD7A82">
            <w:pPr>
              <w:rPr>
                <w:sz w:val="18"/>
                <w:szCs w:val="18"/>
              </w:rPr>
            </w:pPr>
          </w:p>
        </w:tc>
      </w:tr>
      <w:tr w:rsidR="00AD7A82" w:rsidRPr="00AD7A82" w14:paraId="3F43FEC9"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648113F7"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47     </w:t>
            </w:r>
          </w:p>
        </w:tc>
        <w:tc>
          <w:tcPr>
            <w:tcW w:w="2906" w:type="dxa"/>
            <w:tcBorders>
              <w:top w:val="nil"/>
              <w:left w:val="nil"/>
              <w:bottom w:val="nil"/>
              <w:right w:val="nil"/>
            </w:tcBorders>
            <w:shd w:val="clear" w:color="000000" w:fill="FFFFFF"/>
            <w:noWrap/>
            <w:vAlign w:val="center"/>
            <w:hideMark/>
          </w:tcPr>
          <w:p w14:paraId="46E7D8A6"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Magdalena </w:t>
            </w:r>
          </w:p>
        </w:tc>
        <w:tc>
          <w:tcPr>
            <w:tcW w:w="1799" w:type="dxa"/>
            <w:tcBorders>
              <w:top w:val="nil"/>
              <w:left w:val="nil"/>
              <w:bottom w:val="nil"/>
              <w:right w:val="nil"/>
            </w:tcBorders>
            <w:shd w:val="clear" w:color="000000" w:fill="FFFFFF"/>
            <w:noWrap/>
            <w:vAlign w:val="center"/>
            <w:hideMark/>
          </w:tcPr>
          <w:p w14:paraId="476F440D"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1.071.667     </w:t>
            </w:r>
          </w:p>
        </w:tc>
        <w:tc>
          <w:tcPr>
            <w:tcW w:w="1738" w:type="dxa"/>
            <w:tcBorders>
              <w:top w:val="nil"/>
              <w:left w:val="nil"/>
              <w:bottom w:val="nil"/>
              <w:right w:val="single" w:sz="4" w:space="0" w:color="auto"/>
            </w:tcBorders>
            <w:shd w:val="clear" w:color="000000" w:fill="FFFFFF"/>
            <w:noWrap/>
            <w:vAlign w:val="center"/>
            <w:hideMark/>
          </w:tcPr>
          <w:p w14:paraId="12928835"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0,06 </w:t>
            </w:r>
          </w:p>
        </w:tc>
        <w:tc>
          <w:tcPr>
            <w:tcW w:w="155" w:type="dxa"/>
            <w:vAlign w:val="center"/>
            <w:hideMark/>
          </w:tcPr>
          <w:p w14:paraId="1A8018CC" w14:textId="77777777" w:rsidR="00AD7A82" w:rsidRPr="00AD7A82" w:rsidRDefault="00AD7A82">
            <w:pPr>
              <w:rPr>
                <w:sz w:val="18"/>
                <w:szCs w:val="18"/>
              </w:rPr>
            </w:pPr>
          </w:p>
        </w:tc>
      </w:tr>
      <w:tr w:rsidR="00AD7A82" w:rsidRPr="00AD7A82" w14:paraId="0FBD8E3D"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2E923319"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70     </w:t>
            </w:r>
          </w:p>
        </w:tc>
        <w:tc>
          <w:tcPr>
            <w:tcW w:w="2906" w:type="dxa"/>
            <w:tcBorders>
              <w:top w:val="nil"/>
              <w:left w:val="nil"/>
              <w:bottom w:val="single" w:sz="4" w:space="0" w:color="auto"/>
              <w:right w:val="nil"/>
            </w:tcBorders>
            <w:shd w:val="clear" w:color="000000" w:fill="F2F2F2"/>
            <w:noWrap/>
            <w:vAlign w:val="center"/>
            <w:hideMark/>
          </w:tcPr>
          <w:p w14:paraId="39BF03E6"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Sucre </w:t>
            </w:r>
          </w:p>
        </w:tc>
        <w:tc>
          <w:tcPr>
            <w:tcW w:w="1799" w:type="dxa"/>
            <w:tcBorders>
              <w:top w:val="nil"/>
              <w:left w:val="nil"/>
              <w:bottom w:val="single" w:sz="4" w:space="0" w:color="auto"/>
              <w:right w:val="nil"/>
            </w:tcBorders>
            <w:shd w:val="clear" w:color="000000" w:fill="F2F2F2"/>
            <w:noWrap/>
            <w:vAlign w:val="center"/>
            <w:hideMark/>
          </w:tcPr>
          <w:p w14:paraId="700562C5"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200.125     </w:t>
            </w:r>
          </w:p>
        </w:tc>
        <w:tc>
          <w:tcPr>
            <w:tcW w:w="1738" w:type="dxa"/>
            <w:tcBorders>
              <w:top w:val="nil"/>
              <w:left w:val="nil"/>
              <w:bottom w:val="single" w:sz="4" w:space="0" w:color="auto"/>
              <w:right w:val="single" w:sz="4" w:space="0" w:color="auto"/>
            </w:tcBorders>
            <w:shd w:val="clear" w:color="000000" w:fill="F2F2F2"/>
            <w:noWrap/>
            <w:vAlign w:val="center"/>
            <w:hideMark/>
          </w:tcPr>
          <w:p w14:paraId="19AB2611"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0,01 </w:t>
            </w:r>
          </w:p>
        </w:tc>
        <w:tc>
          <w:tcPr>
            <w:tcW w:w="155" w:type="dxa"/>
            <w:vAlign w:val="center"/>
            <w:hideMark/>
          </w:tcPr>
          <w:p w14:paraId="55E00F73" w14:textId="77777777" w:rsidR="00AD7A82" w:rsidRPr="00AD7A82" w:rsidRDefault="00AD7A82">
            <w:pPr>
              <w:rPr>
                <w:sz w:val="18"/>
                <w:szCs w:val="18"/>
              </w:rPr>
            </w:pPr>
          </w:p>
        </w:tc>
      </w:tr>
      <w:tr w:rsidR="00AD7A82" w:rsidRPr="00AD7A82" w14:paraId="13C67527" w14:textId="77777777" w:rsidTr="00AD7A82">
        <w:trPr>
          <w:trHeight w:val="268"/>
          <w:jc w:val="center"/>
        </w:trPr>
        <w:tc>
          <w:tcPr>
            <w:tcW w:w="1351" w:type="dxa"/>
            <w:tcBorders>
              <w:top w:val="single" w:sz="4" w:space="0" w:color="auto"/>
              <w:left w:val="single" w:sz="4" w:space="0" w:color="auto"/>
              <w:bottom w:val="nil"/>
              <w:right w:val="nil"/>
            </w:tcBorders>
            <w:shd w:val="clear" w:color="000000" w:fill="FFFFFF"/>
            <w:noWrap/>
            <w:vAlign w:val="center"/>
            <w:hideMark/>
          </w:tcPr>
          <w:p w14:paraId="76067D5E" w14:textId="77777777" w:rsidR="00AD7A82" w:rsidRPr="00AD7A82" w:rsidRDefault="00AD7A82">
            <w:pPr>
              <w:rPr>
                <w:rFonts w:ascii="Segoe UI" w:hAnsi="Segoe UI" w:cs="Segoe UI"/>
                <w:b/>
                <w:bCs/>
                <w:sz w:val="18"/>
                <w:szCs w:val="18"/>
              </w:rPr>
            </w:pPr>
            <w:r w:rsidRPr="00AD7A82">
              <w:rPr>
                <w:rFonts w:ascii="Segoe UI" w:hAnsi="Segoe UI" w:cs="Segoe UI"/>
                <w:b/>
                <w:bCs/>
                <w:sz w:val="18"/>
                <w:szCs w:val="18"/>
              </w:rPr>
              <w:t> </w:t>
            </w:r>
          </w:p>
        </w:tc>
        <w:tc>
          <w:tcPr>
            <w:tcW w:w="2906" w:type="dxa"/>
            <w:tcBorders>
              <w:top w:val="nil"/>
              <w:left w:val="nil"/>
              <w:bottom w:val="nil"/>
              <w:right w:val="nil"/>
            </w:tcBorders>
            <w:shd w:val="clear" w:color="000000" w:fill="FFFFFF"/>
            <w:noWrap/>
            <w:hideMark/>
          </w:tcPr>
          <w:p w14:paraId="72047CBA" w14:textId="77777777" w:rsidR="00AD7A82" w:rsidRPr="00AD7A82" w:rsidRDefault="00AD7A82">
            <w:pPr>
              <w:rPr>
                <w:rFonts w:ascii="Segoe UI" w:hAnsi="Segoe UI" w:cs="Segoe UI"/>
                <w:b/>
                <w:bCs/>
                <w:sz w:val="18"/>
                <w:szCs w:val="18"/>
              </w:rPr>
            </w:pPr>
            <w:r w:rsidRPr="00AD7A82">
              <w:rPr>
                <w:rFonts w:ascii="Segoe UI" w:hAnsi="Segoe UI" w:cs="Segoe UI"/>
                <w:b/>
                <w:bCs/>
                <w:sz w:val="18"/>
                <w:szCs w:val="18"/>
              </w:rPr>
              <w:t xml:space="preserve"> Total Región Pacífica </w:t>
            </w:r>
          </w:p>
        </w:tc>
        <w:tc>
          <w:tcPr>
            <w:tcW w:w="1799" w:type="dxa"/>
            <w:tcBorders>
              <w:top w:val="nil"/>
              <w:left w:val="nil"/>
              <w:bottom w:val="nil"/>
              <w:right w:val="nil"/>
            </w:tcBorders>
            <w:shd w:val="clear" w:color="000000" w:fill="FFFFFF"/>
            <w:noWrap/>
            <w:hideMark/>
          </w:tcPr>
          <w:p w14:paraId="3131D5E5"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1.902.674     </w:t>
            </w:r>
          </w:p>
        </w:tc>
        <w:tc>
          <w:tcPr>
            <w:tcW w:w="1738" w:type="dxa"/>
            <w:tcBorders>
              <w:top w:val="nil"/>
              <w:left w:val="nil"/>
              <w:bottom w:val="nil"/>
              <w:right w:val="single" w:sz="4" w:space="0" w:color="auto"/>
            </w:tcBorders>
            <w:shd w:val="clear" w:color="000000" w:fill="FFFFFF"/>
            <w:noWrap/>
            <w:hideMark/>
          </w:tcPr>
          <w:p w14:paraId="5FE78270"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0,11 </w:t>
            </w:r>
          </w:p>
        </w:tc>
        <w:tc>
          <w:tcPr>
            <w:tcW w:w="155" w:type="dxa"/>
            <w:vAlign w:val="center"/>
            <w:hideMark/>
          </w:tcPr>
          <w:p w14:paraId="4F83F122" w14:textId="77777777" w:rsidR="00AD7A82" w:rsidRPr="00AD7A82" w:rsidRDefault="00AD7A82">
            <w:pPr>
              <w:rPr>
                <w:sz w:val="18"/>
                <w:szCs w:val="18"/>
              </w:rPr>
            </w:pPr>
          </w:p>
        </w:tc>
      </w:tr>
      <w:tr w:rsidR="00AD7A82" w:rsidRPr="00AD7A82" w14:paraId="1525AF56"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3F891DCD"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19     </w:t>
            </w:r>
          </w:p>
        </w:tc>
        <w:tc>
          <w:tcPr>
            <w:tcW w:w="2906" w:type="dxa"/>
            <w:tcBorders>
              <w:top w:val="nil"/>
              <w:left w:val="nil"/>
              <w:bottom w:val="nil"/>
              <w:right w:val="nil"/>
            </w:tcBorders>
            <w:shd w:val="clear" w:color="000000" w:fill="FFFFFF"/>
            <w:noWrap/>
            <w:vAlign w:val="center"/>
            <w:hideMark/>
          </w:tcPr>
          <w:p w14:paraId="0A492A00"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Cauca </w:t>
            </w:r>
          </w:p>
        </w:tc>
        <w:tc>
          <w:tcPr>
            <w:tcW w:w="1799" w:type="dxa"/>
            <w:tcBorders>
              <w:top w:val="nil"/>
              <w:left w:val="nil"/>
              <w:bottom w:val="nil"/>
              <w:right w:val="nil"/>
            </w:tcBorders>
            <w:shd w:val="clear" w:color="000000" w:fill="FFFFFF"/>
            <w:noWrap/>
            <w:vAlign w:val="center"/>
            <w:hideMark/>
          </w:tcPr>
          <w:p w14:paraId="33DD0463"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218.703     </w:t>
            </w:r>
          </w:p>
        </w:tc>
        <w:tc>
          <w:tcPr>
            <w:tcW w:w="1738" w:type="dxa"/>
            <w:tcBorders>
              <w:top w:val="nil"/>
              <w:left w:val="nil"/>
              <w:bottom w:val="nil"/>
              <w:right w:val="single" w:sz="4" w:space="0" w:color="auto"/>
            </w:tcBorders>
            <w:shd w:val="clear" w:color="000000" w:fill="FFFFFF"/>
            <w:noWrap/>
            <w:vAlign w:val="center"/>
            <w:hideMark/>
          </w:tcPr>
          <w:p w14:paraId="40FE2142"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0,01 </w:t>
            </w:r>
          </w:p>
        </w:tc>
        <w:tc>
          <w:tcPr>
            <w:tcW w:w="155" w:type="dxa"/>
            <w:vAlign w:val="center"/>
            <w:hideMark/>
          </w:tcPr>
          <w:p w14:paraId="704EABE7" w14:textId="77777777" w:rsidR="00AD7A82" w:rsidRPr="00AD7A82" w:rsidRDefault="00AD7A82">
            <w:pPr>
              <w:rPr>
                <w:sz w:val="18"/>
                <w:szCs w:val="18"/>
              </w:rPr>
            </w:pPr>
          </w:p>
        </w:tc>
      </w:tr>
      <w:tr w:rsidR="00AD7A82" w:rsidRPr="00AD7A82" w14:paraId="2CC2D6D6"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61C437CD"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27     </w:t>
            </w:r>
          </w:p>
        </w:tc>
        <w:tc>
          <w:tcPr>
            <w:tcW w:w="2906" w:type="dxa"/>
            <w:tcBorders>
              <w:top w:val="nil"/>
              <w:left w:val="nil"/>
              <w:bottom w:val="nil"/>
              <w:right w:val="nil"/>
            </w:tcBorders>
            <w:shd w:val="clear" w:color="000000" w:fill="F2F2F2"/>
            <w:noWrap/>
            <w:vAlign w:val="center"/>
            <w:hideMark/>
          </w:tcPr>
          <w:p w14:paraId="3F9DB134"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Chocó </w:t>
            </w:r>
          </w:p>
        </w:tc>
        <w:tc>
          <w:tcPr>
            <w:tcW w:w="1799" w:type="dxa"/>
            <w:tcBorders>
              <w:top w:val="nil"/>
              <w:left w:val="nil"/>
              <w:bottom w:val="nil"/>
              <w:right w:val="nil"/>
            </w:tcBorders>
            <w:shd w:val="clear" w:color="000000" w:fill="F2F2F2"/>
            <w:noWrap/>
            <w:vAlign w:val="center"/>
            <w:hideMark/>
          </w:tcPr>
          <w:p w14:paraId="1FA3E9CA"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39.397     </w:t>
            </w:r>
          </w:p>
        </w:tc>
        <w:tc>
          <w:tcPr>
            <w:tcW w:w="1738" w:type="dxa"/>
            <w:tcBorders>
              <w:top w:val="nil"/>
              <w:left w:val="nil"/>
              <w:bottom w:val="nil"/>
              <w:right w:val="single" w:sz="4" w:space="0" w:color="auto"/>
            </w:tcBorders>
            <w:shd w:val="clear" w:color="000000" w:fill="F2F2F2"/>
            <w:noWrap/>
            <w:vAlign w:val="center"/>
            <w:hideMark/>
          </w:tcPr>
          <w:p w14:paraId="6E4CB250"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0,00 </w:t>
            </w:r>
          </w:p>
        </w:tc>
        <w:tc>
          <w:tcPr>
            <w:tcW w:w="155" w:type="dxa"/>
            <w:vAlign w:val="center"/>
            <w:hideMark/>
          </w:tcPr>
          <w:p w14:paraId="0F618F4B" w14:textId="77777777" w:rsidR="00AD7A82" w:rsidRPr="00AD7A82" w:rsidRDefault="00AD7A82">
            <w:pPr>
              <w:rPr>
                <w:sz w:val="18"/>
                <w:szCs w:val="18"/>
              </w:rPr>
            </w:pPr>
          </w:p>
        </w:tc>
      </w:tr>
      <w:tr w:rsidR="00AD7A82" w:rsidRPr="00AD7A82" w14:paraId="6D0D7ABE"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49B8981F"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52     </w:t>
            </w:r>
          </w:p>
        </w:tc>
        <w:tc>
          <w:tcPr>
            <w:tcW w:w="2906" w:type="dxa"/>
            <w:tcBorders>
              <w:top w:val="nil"/>
              <w:left w:val="nil"/>
              <w:bottom w:val="nil"/>
              <w:right w:val="nil"/>
            </w:tcBorders>
            <w:shd w:val="clear" w:color="000000" w:fill="FFFFFF"/>
            <w:noWrap/>
            <w:vAlign w:val="center"/>
            <w:hideMark/>
          </w:tcPr>
          <w:p w14:paraId="49B0C8EF"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Nariño </w:t>
            </w:r>
          </w:p>
        </w:tc>
        <w:tc>
          <w:tcPr>
            <w:tcW w:w="1799" w:type="dxa"/>
            <w:tcBorders>
              <w:top w:val="nil"/>
              <w:left w:val="nil"/>
              <w:bottom w:val="nil"/>
              <w:right w:val="nil"/>
            </w:tcBorders>
            <w:shd w:val="clear" w:color="000000" w:fill="FFFFFF"/>
            <w:noWrap/>
            <w:vAlign w:val="center"/>
            <w:hideMark/>
          </w:tcPr>
          <w:p w14:paraId="1E195357"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774.947     </w:t>
            </w:r>
          </w:p>
        </w:tc>
        <w:tc>
          <w:tcPr>
            <w:tcW w:w="1738" w:type="dxa"/>
            <w:tcBorders>
              <w:top w:val="nil"/>
              <w:left w:val="nil"/>
              <w:bottom w:val="nil"/>
              <w:right w:val="single" w:sz="4" w:space="0" w:color="auto"/>
            </w:tcBorders>
            <w:shd w:val="clear" w:color="000000" w:fill="FFFFFF"/>
            <w:noWrap/>
            <w:vAlign w:val="center"/>
            <w:hideMark/>
          </w:tcPr>
          <w:p w14:paraId="4C9EF444"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0,05 </w:t>
            </w:r>
          </w:p>
        </w:tc>
        <w:tc>
          <w:tcPr>
            <w:tcW w:w="155" w:type="dxa"/>
            <w:vAlign w:val="center"/>
            <w:hideMark/>
          </w:tcPr>
          <w:p w14:paraId="090DAF5F" w14:textId="77777777" w:rsidR="00AD7A82" w:rsidRPr="00AD7A82" w:rsidRDefault="00AD7A82">
            <w:pPr>
              <w:rPr>
                <w:sz w:val="18"/>
                <w:szCs w:val="18"/>
              </w:rPr>
            </w:pPr>
          </w:p>
        </w:tc>
      </w:tr>
      <w:tr w:rsidR="00AD7A82" w:rsidRPr="00AD7A82" w14:paraId="131BB1D6"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392AC3CF"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76     </w:t>
            </w:r>
          </w:p>
        </w:tc>
        <w:tc>
          <w:tcPr>
            <w:tcW w:w="2906" w:type="dxa"/>
            <w:tcBorders>
              <w:top w:val="nil"/>
              <w:left w:val="nil"/>
              <w:bottom w:val="single" w:sz="4" w:space="0" w:color="auto"/>
              <w:right w:val="nil"/>
            </w:tcBorders>
            <w:shd w:val="clear" w:color="000000" w:fill="F2F2F2"/>
            <w:noWrap/>
            <w:vAlign w:val="center"/>
            <w:hideMark/>
          </w:tcPr>
          <w:p w14:paraId="38A6AE8C"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Valle Del Cauca </w:t>
            </w:r>
          </w:p>
        </w:tc>
        <w:tc>
          <w:tcPr>
            <w:tcW w:w="1799" w:type="dxa"/>
            <w:tcBorders>
              <w:top w:val="nil"/>
              <w:left w:val="nil"/>
              <w:bottom w:val="single" w:sz="4" w:space="0" w:color="auto"/>
              <w:right w:val="nil"/>
            </w:tcBorders>
            <w:shd w:val="clear" w:color="000000" w:fill="F2F2F2"/>
            <w:noWrap/>
            <w:vAlign w:val="center"/>
            <w:hideMark/>
          </w:tcPr>
          <w:p w14:paraId="6D82FC3C"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869.628     </w:t>
            </w:r>
          </w:p>
        </w:tc>
        <w:tc>
          <w:tcPr>
            <w:tcW w:w="1738" w:type="dxa"/>
            <w:tcBorders>
              <w:top w:val="nil"/>
              <w:left w:val="nil"/>
              <w:bottom w:val="single" w:sz="4" w:space="0" w:color="auto"/>
              <w:right w:val="single" w:sz="4" w:space="0" w:color="auto"/>
            </w:tcBorders>
            <w:shd w:val="clear" w:color="000000" w:fill="F2F2F2"/>
            <w:noWrap/>
            <w:vAlign w:val="center"/>
            <w:hideMark/>
          </w:tcPr>
          <w:p w14:paraId="55137FA8"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0,05 </w:t>
            </w:r>
          </w:p>
        </w:tc>
        <w:tc>
          <w:tcPr>
            <w:tcW w:w="155" w:type="dxa"/>
            <w:vAlign w:val="center"/>
            <w:hideMark/>
          </w:tcPr>
          <w:p w14:paraId="68154597" w14:textId="77777777" w:rsidR="00AD7A82" w:rsidRPr="00AD7A82" w:rsidRDefault="00AD7A82">
            <w:pPr>
              <w:rPr>
                <w:sz w:val="18"/>
                <w:szCs w:val="18"/>
              </w:rPr>
            </w:pPr>
          </w:p>
        </w:tc>
      </w:tr>
      <w:tr w:rsidR="00AD7A82" w:rsidRPr="00AD7A82" w14:paraId="0EC05B53" w14:textId="77777777" w:rsidTr="00AD7A82">
        <w:trPr>
          <w:trHeight w:val="268"/>
          <w:jc w:val="center"/>
        </w:trPr>
        <w:tc>
          <w:tcPr>
            <w:tcW w:w="1351" w:type="dxa"/>
            <w:tcBorders>
              <w:top w:val="single" w:sz="4" w:space="0" w:color="auto"/>
              <w:left w:val="single" w:sz="4" w:space="0" w:color="auto"/>
              <w:bottom w:val="nil"/>
              <w:right w:val="nil"/>
            </w:tcBorders>
            <w:shd w:val="clear" w:color="000000" w:fill="FFFFFF"/>
            <w:noWrap/>
            <w:vAlign w:val="center"/>
            <w:hideMark/>
          </w:tcPr>
          <w:p w14:paraId="28821B83" w14:textId="77777777" w:rsidR="00AD7A82" w:rsidRPr="00AD7A82" w:rsidRDefault="00AD7A82">
            <w:pPr>
              <w:rPr>
                <w:rFonts w:ascii="Segoe UI" w:hAnsi="Segoe UI" w:cs="Segoe UI"/>
                <w:sz w:val="18"/>
                <w:szCs w:val="18"/>
              </w:rPr>
            </w:pPr>
            <w:r w:rsidRPr="00AD7A82">
              <w:rPr>
                <w:rFonts w:ascii="Segoe UI" w:hAnsi="Segoe UI" w:cs="Segoe UI"/>
                <w:sz w:val="18"/>
                <w:szCs w:val="18"/>
              </w:rPr>
              <w:t> </w:t>
            </w:r>
          </w:p>
        </w:tc>
        <w:tc>
          <w:tcPr>
            <w:tcW w:w="2906" w:type="dxa"/>
            <w:tcBorders>
              <w:top w:val="nil"/>
              <w:left w:val="nil"/>
              <w:bottom w:val="nil"/>
              <w:right w:val="nil"/>
            </w:tcBorders>
            <w:shd w:val="clear" w:color="000000" w:fill="FFFFFF"/>
            <w:noWrap/>
            <w:hideMark/>
          </w:tcPr>
          <w:p w14:paraId="22662FFB" w14:textId="77777777" w:rsidR="00AD7A82" w:rsidRPr="00AD7A82" w:rsidRDefault="00AD7A82">
            <w:pPr>
              <w:rPr>
                <w:rFonts w:ascii="Segoe UI" w:hAnsi="Segoe UI" w:cs="Segoe UI"/>
                <w:b/>
                <w:bCs/>
                <w:sz w:val="18"/>
                <w:szCs w:val="18"/>
              </w:rPr>
            </w:pPr>
            <w:r w:rsidRPr="00AD7A82">
              <w:rPr>
                <w:rFonts w:ascii="Segoe UI" w:hAnsi="Segoe UI" w:cs="Segoe UI"/>
                <w:b/>
                <w:bCs/>
                <w:sz w:val="18"/>
                <w:szCs w:val="18"/>
              </w:rPr>
              <w:t xml:space="preserve"> Total Región Orinoquía </w:t>
            </w:r>
          </w:p>
        </w:tc>
        <w:tc>
          <w:tcPr>
            <w:tcW w:w="1799" w:type="dxa"/>
            <w:tcBorders>
              <w:top w:val="nil"/>
              <w:left w:val="nil"/>
              <w:bottom w:val="nil"/>
              <w:right w:val="nil"/>
            </w:tcBorders>
            <w:shd w:val="clear" w:color="000000" w:fill="FFFFFF"/>
            <w:noWrap/>
            <w:hideMark/>
          </w:tcPr>
          <w:p w14:paraId="454B7D49"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2.033.567     </w:t>
            </w:r>
          </w:p>
        </w:tc>
        <w:tc>
          <w:tcPr>
            <w:tcW w:w="1738" w:type="dxa"/>
            <w:tcBorders>
              <w:top w:val="nil"/>
              <w:left w:val="nil"/>
              <w:bottom w:val="nil"/>
              <w:right w:val="single" w:sz="4" w:space="0" w:color="auto"/>
            </w:tcBorders>
            <w:shd w:val="clear" w:color="000000" w:fill="FFFFFF"/>
            <w:noWrap/>
            <w:hideMark/>
          </w:tcPr>
          <w:p w14:paraId="7C122FD5"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0,12 </w:t>
            </w:r>
          </w:p>
        </w:tc>
        <w:tc>
          <w:tcPr>
            <w:tcW w:w="155" w:type="dxa"/>
            <w:vAlign w:val="center"/>
            <w:hideMark/>
          </w:tcPr>
          <w:p w14:paraId="60C2082C" w14:textId="77777777" w:rsidR="00AD7A82" w:rsidRPr="00AD7A82" w:rsidRDefault="00AD7A82">
            <w:pPr>
              <w:rPr>
                <w:sz w:val="18"/>
                <w:szCs w:val="18"/>
              </w:rPr>
            </w:pPr>
          </w:p>
        </w:tc>
      </w:tr>
      <w:tr w:rsidR="00AD7A82" w:rsidRPr="00AD7A82" w14:paraId="51D54117"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047C42BE"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81     </w:t>
            </w:r>
          </w:p>
        </w:tc>
        <w:tc>
          <w:tcPr>
            <w:tcW w:w="2906" w:type="dxa"/>
            <w:tcBorders>
              <w:top w:val="nil"/>
              <w:left w:val="nil"/>
              <w:bottom w:val="nil"/>
              <w:right w:val="nil"/>
            </w:tcBorders>
            <w:shd w:val="clear" w:color="000000" w:fill="FFFFFF"/>
            <w:noWrap/>
            <w:vAlign w:val="center"/>
            <w:hideMark/>
          </w:tcPr>
          <w:p w14:paraId="2E19205B"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Arauca </w:t>
            </w:r>
          </w:p>
        </w:tc>
        <w:tc>
          <w:tcPr>
            <w:tcW w:w="1799" w:type="dxa"/>
            <w:tcBorders>
              <w:top w:val="nil"/>
              <w:left w:val="nil"/>
              <w:bottom w:val="nil"/>
              <w:right w:val="nil"/>
            </w:tcBorders>
            <w:shd w:val="clear" w:color="000000" w:fill="FFFFFF"/>
            <w:noWrap/>
            <w:vAlign w:val="center"/>
            <w:hideMark/>
          </w:tcPr>
          <w:p w14:paraId="14FB18C8"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103.343     </w:t>
            </w:r>
          </w:p>
        </w:tc>
        <w:tc>
          <w:tcPr>
            <w:tcW w:w="1738" w:type="dxa"/>
            <w:tcBorders>
              <w:top w:val="nil"/>
              <w:left w:val="nil"/>
              <w:bottom w:val="nil"/>
              <w:right w:val="single" w:sz="4" w:space="0" w:color="auto"/>
            </w:tcBorders>
            <w:shd w:val="clear" w:color="000000" w:fill="FFFFFF"/>
            <w:noWrap/>
            <w:vAlign w:val="center"/>
            <w:hideMark/>
          </w:tcPr>
          <w:p w14:paraId="7FF25C56"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0,01 </w:t>
            </w:r>
          </w:p>
        </w:tc>
        <w:tc>
          <w:tcPr>
            <w:tcW w:w="155" w:type="dxa"/>
            <w:vAlign w:val="center"/>
            <w:hideMark/>
          </w:tcPr>
          <w:p w14:paraId="0FCD4B7A" w14:textId="77777777" w:rsidR="00AD7A82" w:rsidRPr="00AD7A82" w:rsidRDefault="00AD7A82">
            <w:pPr>
              <w:rPr>
                <w:sz w:val="18"/>
                <w:szCs w:val="18"/>
              </w:rPr>
            </w:pPr>
          </w:p>
        </w:tc>
      </w:tr>
      <w:tr w:rsidR="00AD7A82" w:rsidRPr="00AD7A82" w14:paraId="6B82E358"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7D2EEAEA"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85     </w:t>
            </w:r>
          </w:p>
        </w:tc>
        <w:tc>
          <w:tcPr>
            <w:tcW w:w="2906" w:type="dxa"/>
            <w:tcBorders>
              <w:top w:val="nil"/>
              <w:left w:val="nil"/>
              <w:bottom w:val="nil"/>
              <w:right w:val="nil"/>
            </w:tcBorders>
            <w:shd w:val="clear" w:color="000000" w:fill="F2F2F2"/>
            <w:noWrap/>
            <w:vAlign w:val="center"/>
            <w:hideMark/>
          </w:tcPr>
          <w:p w14:paraId="0BF711DD"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Casanare </w:t>
            </w:r>
          </w:p>
        </w:tc>
        <w:tc>
          <w:tcPr>
            <w:tcW w:w="1799" w:type="dxa"/>
            <w:tcBorders>
              <w:top w:val="nil"/>
              <w:left w:val="nil"/>
              <w:bottom w:val="nil"/>
              <w:right w:val="nil"/>
            </w:tcBorders>
            <w:shd w:val="clear" w:color="000000" w:fill="F2F2F2"/>
            <w:noWrap/>
            <w:vAlign w:val="center"/>
            <w:hideMark/>
          </w:tcPr>
          <w:p w14:paraId="207512B2"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823.516     </w:t>
            </w:r>
          </w:p>
        </w:tc>
        <w:tc>
          <w:tcPr>
            <w:tcW w:w="1738" w:type="dxa"/>
            <w:tcBorders>
              <w:top w:val="nil"/>
              <w:left w:val="nil"/>
              <w:bottom w:val="nil"/>
              <w:right w:val="single" w:sz="4" w:space="0" w:color="auto"/>
            </w:tcBorders>
            <w:shd w:val="clear" w:color="000000" w:fill="F2F2F2"/>
            <w:noWrap/>
            <w:vAlign w:val="center"/>
            <w:hideMark/>
          </w:tcPr>
          <w:p w14:paraId="465AEE1C"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0,05 </w:t>
            </w:r>
          </w:p>
        </w:tc>
        <w:tc>
          <w:tcPr>
            <w:tcW w:w="155" w:type="dxa"/>
            <w:vAlign w:val="center"/>
            <w:hideMark/>
          </w:tcPr>
          <w:p w14:paraId="296D91E6" w14:textId="77777777" w:rsidR="00AD7A82" w:rsidRPr="00AD7A82" w:rsidRDefault="00AD7A82">
            <w:pPr>
              <w:rPr>
                <w:sz w:val="18"/>
                <w:szCs w:val="18"/>
              </w:rPr>
            </w:pPr>
          </w:p>
        </w:tc>
      </w:tr>
      <w:tr w:rsidR="00AD7A82" w:rsidRPr="00AD7A82" w14:paraId="3726CFB8"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1758890D"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50     </w:t>
            </w:r>
          </w:p>
        </w:tc>
        <w:tc>
          <w:tcPr>
            <w:tcW w:w="2906" w:type="dxa"/>
            <w:tcBorders>
              <w:top w:val="nil"/>
              <w:left w:val="nil"/>
              <w:bottom w:val="nil"/>
              <w:right w:val="nil"/>
            </w:tcBorders>
            <w:shd w:val="clear" w:color="000000" w:fill="FFFFFF"/>
            <w:noWrap/>
            <w:vAlign w:val="center"/>
            <w:hideMark/>
          </w:tcPr>
          <w:p w14:paraId="3A8E88B9"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Meta </w:t>
            </w:r>
          </w:p>
        </w:tc>
        <w:tc>
          <w:tcPr>
            <w:tcW w:w="1799" w:type="dxa"/>
            <w:tcBorders>
              <w:top w:val="nil"/>
              <w:left w:val="nil"/>
              <w:bottom w:val="nil"/>
              <w:right w:val="nil"/>
            </w:tcBorders>
            <w:shd w:val="clear" w:color="000000" w:fill="FFFFFF"/>
            <w:noWrap/>
            <w:vAlign w:val="center"/>
            <w:hideMark/>
          </w:tcPr>
          <w:p w14:paraId="091FE240"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1.101.388     </w:t>
            </w:r>
          </w:p>
        </w:tc>
        <w:tc>
          <w:tcPr>
            <w:tcW w:w="1738" w:type="dxa"/>
            <w:tcBorders>
              <w:top w:val="nil"/>
              <w:left w:val="nil"/>
              <w:bottom w:val="nil"/>
              <w:right w:val="single" w:sz="4" w:space="0" w:color="auto"/>
            </w:tcBorders>
            <w:shd w:val="clear" w:color="000000" w:fill="FFFFFF"/>
            <w:noWrap/>
            <w:vAlign w:val="center"/>
            <w:hideMark/>
          </w:tcPr>
          <w:p w14:paraId="273757D7"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0,06 </w:t>
            </w:r>
          </w:p>
        </w:tc>
        <w:tc>
          <w:tcPr>
            <w:tcW w:w="155" w:type="dxa"/>
            <w:vAlign w:val="center"/>
            <w:hideMark/>
          </w:tcPr>
          <w:p w14:paraId="11319B7D" w14:textId="77777777" w:rsidR="00AD7A82" w:rsidRPr="00AD7A82" w:rsidRDefault="00AD7A82">
            <w:pPr>
              <w:rPr>
                <w:sz w:val="18"/>
                <w:szCs w:val="18"/>
              </w:rPr>
            </w:pPr>
          </w:p>
        </w:tc>
      </w:tr>
      <w:tr w:rsidR="00AD7A82" w:rsidRPr="00AD7A82" w14:paraId="011DA82E"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66FBA05B"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99     </w:t>
            </w:r>
          </w:p>
        </w:tc>
        <w:tc>
          <w:tcPr>
            <w:tcW w:w="2906" w:type="dxa"/>
            <w:tcBorders>
              <w:top w:val="nil"/>
              <w:left w:val="nil"/>
              <w:bottom w:val="single" w:sz="4" w:space="0" w:color="auto"/>
              <w:right w:val="nil"/>
            </w:tcBorders>
            <w:shd w:val="clear" w:color="000000" w:fill="F2F2F2"/>
            <w:noWrap/>
            <w:vAlign w:val="center"/>
            <w:hideMark/>
          </w:tcPr>
          <w:p w14:paraId="5E43AD15"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Vichada </w:t>
            </w:r>
          </w:p>
        </w:tc>
        <w:tc>
          <w:tcPr>
            <w:tcW w:w="1799" w:type="dxa"/>
            <w:tcBorders>
              <w:top w:val="nil"/>
              <w:left w:val="nil"/>
              <w:bottom w:val="single" w:sz="4" w:space="0" w:color="auto"/>
              <w:right w:val="nil"/>
            </w:tcBorders>
            <w:shd w:val="clear" w:color="000000" w:fill="F2F2F2"/>
            <w:noWrap/>
            <w:vAlign w:val="center"/>
            <w:hideMark/>
          </w:tcPr>
          <w:p w14:paraId="6553D94A"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5.320     </w:t>
            </w:r>
          </w:p>
        </w:tc>
        <w:tc>
          <w:tcPr>
            <w:tcW w:w="1738" w:type="dxa"/>
            <w:tcBorders>
              <w:top w:val="nil"/>
              <w:left w:val="nil"/>
              <w:bottom w:val="single" w:sz="4" w:space="0" w:color="auto"/>
              <w:right w:val="single" w:sz="4" w:space="0" w:color="auto"/>
            </w:tcBorders>
            <w:shd w:val="clear" w:color="000000" w:fill="F2F2F2"/>
            <w:noWrap/>
            <w:vAlign w:val="center"/>
            <w:hideMark/>
          </w:tcPr>
          <w:p w14:paraId="5CC3E3D7"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0,00 </w:t>
            </w:r>
          </w:p>
        </w:tc>
        <w:tc>
          <w:tcPr>
            <w:tcW w:w="155" w:type="dxa"/>
            <w:vAlign w:val="center"/>
            <w:hideMark/>
          </w:tcPr>
          <w:p w14:paraId="6208A7E3" w14:textId="77777777" w:rsidR="00AD7A82" w:rsidRPr="00AD7A82" w:rsidRDefault="00AD7A82">
            <w:pPr>
              <w:rPr>
                <w:sz w:val="18"/>
                <w:szCs w:val="18"/>
              </w:rPr>
            </w:pPr>
          </w:p>
        </w:tc>
      </w:tr>
      <w:tr w:rsidR="00AD7A82" w:rsidRPr="00AD7A82" w14:paraId="4112696A" w14:textId="77777777" w:rsidTr="00AD7A82">
        <w:trPr>
          <w:trHeight w:val="268"/>
          <w:jc w:val="center"/>
        </w:trPr>
        <w:tc>
          <w:tcPr>
            <w:tcW w:w="1351" w:type="dxa"/>
            <w:tcBorders>
              <w:top w:val="single" w:sz="4" w:space="0" w:color="auto"/>
              <w:left w:val="single" w:sz="4" w:space="0" w:color="auto"/>
              <w:bottom w:val="nil"/>
              <w:right w:val="nil"/>
            </w:tcBorders>
            <w:shd w:val="clear" w:color="000000" w:fill="FFFFFF"/>
            <w:noWrap/>
            <w:vAlign w:val="center"/>
            <w:hideMark/>
          </w:tcPr>
          <w:p w14:paraId="69C991B9" w14:textId="77777777" w:rsidR="00AD7A82" w:rsidRPr="00AD7A82" w:rsidRDefault="00AD7A82">
            <w:pPr>
              <w:rPr>
                <w:rFonts w:ascii="Segoe UI" w:hAnsi="Segoe UI" w:cs="Segoe UI"/>
                <w:sz w:val="18"/>
                <w:szCs w:val="18"/>
              </w:rPr>
            </w:pPr>
            <w:r w:rsidRPr="00AD7A82">
              <w:rPr>
                <w:rFonts w:ascii="Segoe UI" w:hAnsi="Segoe UI" w:cs="Segoe UI"/>
                <w:sz w:val="18"/>
                <w:szCs w:val="18"/>
              </w:rPr>
              <w:t> </w:t>
            </w:r>
          </w:p>
        </w:tc>
        <w:tc>
          <w:tcPr>
            <w:tcW w:w="2906" w:type="dxa"/>
            <w:tcBorders>
              <w:top w:val="nil"/>
              <w:left w:val="nil"/>
              <w:bottom w:val="nil"/>
              <w:right w:val="nil"/>
            </w:tcBorders>
            <w:shd w:val="clear" w:color="000000" w:fill="FFFFFF"/>
            <w:noWrap/>
            <w:hideMark/>
          </w:tcPr>
          <w:p w14:paraId="74E85C11" w14:textId="77777777" w:rsidR="00AD7A82" w:rsidRPr="00AD7A82" w:rsidRDefault="00AD7A82">
            <w:pPr>
              <w:rPr>
                <w:rFonts w:ascii="Segoe UI" w:hAnsi="Segoe UI" w:cs="Segoe UI"/>
                <w:b/>
                <w:bCs/>
                <w:sz w:val="18"/>
                <w:szCs w:val="18"/>
              </w:rPr>
            </w:pPr>
            <w:r w:rsidRPr="00AD7A82">
              <w:rPr>
                <w:rFonts w:ascii="Segoe UI" w:hAnsi="Segoe UI" w:cs="Segoe UI"/>
                <w:b/>
                <w:bCs/>
                <w:sz w:val="18"/>
                <w:szCs w:val="18"/>
              </w:rPr>
              <w:t xml:space="preserve"> Total Región Amazonía </w:t>
            </w:r>
          </w:p>
        </w:tc>
        <w:tc>
          <w:tcPr>
            <w:tcW w:w="1799" w:type="dxa"/>
            <w:tcBorders>
              <w:top w:val="nil"/>
              <w:left w:val="nil"/>
              <w:bottom w:val="nil"/>
              <w:right w:val="nil"/>
            </w:tcBorders>
            <w:shd w:val="clear" w:color="000000" w:fill="FFFFFF"/>
            <w:noWrap/>
            <w:hideMark/>
          </w:tcPr>
          <w:p w14:paraId="1120F921"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107.094     </w:t>
            </w:r>
          </w:p>
        </w:tc>
        <w:tc>
          <w:tcPr>
            <w:tcW w:w="1738" w:type="dxa"/>
            <w:tcBorders>
              <w:top w:val="nil"/>
              <w:left w:val="nil"/>
              <w:bottom w:val="nil"/>
              <w:right w:val="single" w:sz="4" w:space="0" w:color="auto"/>
            </w:tcBorders>
            <w:shd w:val="clear" w:color="000000" w:fill="FFFFFF"/>
            <w:noWrap/>
            <w:hideMark/>
          </w:tcPr>
          <w:p w14:paraId="390231B1" w14:textId="77777777" w:rsidR="00AD7A82" w:rsidRPr="00AD7A82" w:rsidRDefault="00AD7A82">
            <w:pPr>
              <w:jc w:val="right"/>
              <w:rPr>
                <w:rFonts w:ascii="Segoe UI" w:hAnsi="Segoe UI" w:cs="Segoe UI"/>
                <w:b/>
                <w:bCs/>
                <w:sz w:val="18"/>
                <w:szCs w:val="18"/>
              </w:rPr>
            </w:pPr>
            <w:r w:rsidRPr="00AD7A82">
              <w:rPr>
                <w:rFonts w:ascii="Segoe UI" w:hAnsi="Segoe UI" w:cs="Segoe UI"/>
                <w:b/>
                <w:bCs/>
                <w:sz w:val="18"/>
                <w:szCs w:val="18"/>
              </w:rPr>
              <w:t xml:space="preserve">                  0,01 </w:t>
            </w:r>
          </w:p>
        </w:tc>
        <w:tc>
          <w:tcPr>
            <w:tcW w:w="155" w:type="dxa"/>
            <w:vAlign w:val="center"/>
            <w:hideMark/>
          </w:tcPr>
          <w:p w14:paraId="243930D0" w14:textId="77777777" w:rsidR="00AD7A82" w:rsidRPr="00AD7A82" w:rsidRDefault="00AD7A82">
            <w:pPr>
              <w:rPr>
                <w:sz w:val="18"/>
                <w:szCs w:val="18"/>
              </w:rPr>
            </w:pPr>
          </w:p>
        </w:tc>
      </w:tr>
      <w:tr w:rsidR="00AD7A82" w:rsidRPr="00AD7A82" w14:paraId="2EDB66CC"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7A62D6C7"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91     </w:t>
            </w:r>
          </w:p>
        </w:tc>
        <w:tc>
          <w:tcPr>
            <w:tcW w:w="2906" w:type="dxa"/>
            <w:tcBorders>
              <w:top w:val="nil"/>
              <w:left w:val="nil"/>
              <w:bottom w:val="nil"/>
              <w:right w:val="nil"/>
            </w:tcBorders>
            <w:shd w:val="clear" w:color="000000" w:fill="FFFFFF"/>
            <w:noWrap/>
            <w:vAlign w:val="center"/>
            <w:hideMark/>
          </w:tcPr>
          <w:p w14:paraId="3CD6973D"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Amazonas </w:t>
            </w:r>
          </w:p>
        </w:tc>
        <w:tc>
          <w:tcPr>
            <w:tcW w:w="1799" w:type="dxa"/>
            <w:tcBorders>
              <w:top w:val="nil"/>
              <w:left w:val="nil"/>
              <w:bottom w:val="nil"/>
              <w:right w:val="nil"/>
            </w:tcBorders>
            <w:shd w:val="clear" w:color="000000" w:fill="FFFFFF"/>
            <w:noWrap/>
            <w:vAlign w:val="center"/>
            <w:hideMark/>
          </w:tcPr>
          <w:p w14:paraId="0F74DE3F"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275     </w:t>
            </w:r>
          </w:p>
        </w:tc>
        <w:tc>
          <w:tcPr>
            <w:tcW w:w="1738" w:type="dxa"/>
            <w:tcBorders>
              <w:top w:val="nil"/>
              <w:left w:val="nil"/>
              <w:bottom w:val="nil"/>
              <w:right w:val="single" w:sz="4" w:space="0" w:color="auto"/>
            </w:tcBorders>
            <w:shd w:val="clear" w:color="000000" w:fill="FFFFFF"/>
            <w:noWrap/>
            <w:vAlign w:val="center"/>
            <w:hideMark/>
          </w:tcPr>
          <w:p w14:paraId="117EDD9F"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0,00 </w:t>
            </w:r>
          </w:p>
        </w:tc>
        <w:tc>
          <w:tcPr>
            <w:tcW w:w="155" w:type="dxa"/>
            <w:vAlign w:val="center"/>
            <w:hideMark/>
          </w:tcPr>
          <w:p w14:paraId="4B08E238" w14:textId="77777777" w:rsidR="00AD7A82" w:rsidRPr="00AD7A82" w:rsidRDefault="00AD7A82">
            <w:pPr>
              <w:rPr>
                <w:sz w:val="18"/>
                <w:szCs w:val="18"/>
              </w:rPr>
            </w:pPr>
          </w:p>
        </w:tc>
      </w:tr>
      <w:tr w:rsidR="00AD7A82" w:rsidRPr="00AD7A82" w14:paraId="7C1E49F4"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32035B87"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18     </w:t>
            </w:r>
          </w:p>
        </w:tc>
        <w:tc>
          <w:tcPr>
            <w:tcW w:w="2906" w:type="dxa"/>
            <w:tcBorders>
              <w:top w:val="nil"/>
              <w:left w:val="nil"/>
              <w:bottom w:val="nil"/>
              <w:right w:val="nil"/>
            </w:tcBorders>
            <w:shd w:val="clear" w:color="000000" w:fill="F2F2F2"/>
            <w:noWrap/>
            <w:vAlign w:val="center"/>
            <w:hideMark/>
          </w:tcPr>
          <w:p w14:paraId="45DB2575"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Caquetá </w:t>
            </w:r>
          </w:p>
        </w:tc>
        <w:tc>
          <w:tcPr>
            <w:tcW w:w="1799" w:type="dxa"/>
            <w:tcBorders>
              <w:top w:val="nil"/>
              <w:left w:val="nil"/>
              <w:bottom w:val="nil"/>
              <w:right w:val="nil"/>
            </w:tcBorders>
            <w:shd w:val="clear" w:color="000000" w:fill="F2F2F2"/>
            <w:noWrap/>
            <w:vAlign w:val="center"/>
            <w:hideMark/>
          </w:tcPr>
          <w:p w14:paraId="0338C410"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22.125     </w:t>
            </w:r>
          </w:p>
        </w:tc>
        <w:tc>
          <w:tcPr>
            <w:tcW w:w="1738" w:type="dxa"/>
            <w:tcBorders>
              <w:top w:val="nil"/>
              <w:left w:val="nil"/>
              <w:bottom w:val="nil"/>
              <w:right w:val="single" w:sz="4" w:space="0" w:color="auto"/>
            </w:tcBorders>
            <w:shd w:val="clear" w:color="000000" w:fill="F2F2F2"/>
            <w:noWrap/>
            <w:vAlign w:val="center"/>
            <w:hideMark/>
          </w:tcPr>
          <w:p w14:paraId="33C64306"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0,00 </w:t>
            </w:r>
          </w:p>
        </w:tc>
        <w:tc>
          <w:tcPr>
            <w:tcW w:w="155" w:type="dxa"/>
            <w:vAlign w:val="center"/>
            <w:hideMark/>
          </w:tcPr>
          <w:p w14:paraId="58061346" w14:textId="77777777" w:rsidR="00AD7A82" w:rsidRPr="00AD7A82" w:rsidRDefault="00AD7A82">
            <w:pPr>
              <w:rPr>
                <w:sz w:val="18"/>
                <w:szCs w:val="18"/>
              </w:rPr>
            </w:pPr>
          </w:p>
        </w:tc>
      </w:tr>
      <w:tr w:rsidR="00AD7A82" w:rsidRPr="00AD7A82" w14:paraId="4121D3B0"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31081A91"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94     </w:t>
            </w:r>
          </w:p>
        </w:tc>
        <w:tc>
          <w:tcPr>
            <w:tcW w:w="2906" w:type="dxa"/>
            <w:tcBorders>
              <w:top w:val="nil"/>
              <w:left w:val="nil"/>
              <w:bottom w:val="nil"/>
              <w:right w:val="nil"/>
            </w:tcBorders>
            <w:shd w:val="clear" w:color="000000" w:fill="FFFFFF"/>
            <w:noWrap/>
            <w:vAlign w:val="center"/>
            <w:hideMark/>
          </w:tcPr>
          <w:p w14:paraId="1EEFE925"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Guainía </w:t>
            </w:r>
          </w:p>
        </w:tc>
        <w:tc>
          <w:tcPr>
            <w:tcW w:w="1799" w:type="dxa"/>
            <w:tcBorders>
              <w:top w:val="nil"/>
              <w:left w:val="nil"/>
              <w:bottom w:val="nil"/>
              <w:right w:val="nil"/>
            </w:tcBorders>
            <w:shd w:val="clear" w:color="000000" w:fill="FFFFFF"/>
            <w:noWrap/>
            <w:vAlign w:val="center"/>
            <w:hideMark/>
          </w:tcPr>
          <w:p w14:paraId="74CFFA51"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860     </w:t>
            </w:r>
          </w:p>
        </w:tc>
        <w:tc>
          <w:tcPr>
            <w:tcW w:w="1738" w:type="dxa"/>
            <w:tcBorders>
              <w:top w:val="nil"/>
              <w:left w:val="nil"/>
              <w:bottom w:val="nil"/>
              <w:right w:val="single" w:sz="4" w:space="0" w:color="auto"/>
            </w:tcBorders>
            <w:shd w:val="clear" w:color="000000" w:fill="FFFFFF"/>
            <w:noWrap/>
            <w:vAlign w:val="center"/>
            <w:hideMark/>
          </w:tcPr>
          <w:p w14:paraId="69C2F95F"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0,00 </w:t>
            </w:r>
          </w:p>
        </w:tc>
        <w:tc>
          <w:tcPr>
            <w:tcW w:w="155" w:type="dxa"/>
            <w:vAlign w:val="center"/>
            <w:hideMark/>
          </w:tcPr>
          <w:p w14:paraId="77E5ACC4" w14:textId="77777777" w:rsidR="00AD7A82" w:rsidRPr="00AD7A82" w:rsidRDefault="00AD7A82">
            <w:pPr>
              <w:rPr>
                <w:sz w:val="18"/>
                <w:szCs w:val="18"/>
              </w:rPr>
            </w:pPr>
          </w:p>
        </w:tc>
      </w:tr>
      <w:tr w:rsidR="00AD7A82" w:rsidRPr="00AD7A82" w14:paraId="6214A57E" w14:textId="77777777" w:rsidTr="00AD7A82">
        <w:trPr>
          <w:trHeight w:val="268"/>
          <w:jc w:val="center"/>
        </w:trPr>
        <w:tc>
          <w:tcPr>
            <w:tcW w:w="1351" w:type="dxa"/>
            <w:tcBorders>
              <w:top w:val="nil"/>
              <w:left w:val="single" w:sz="4" w:space="0" w:color="auto"/>
              <w:bottom w:val="nil"/>
              <w:right w:val="nil"/>
            </w:tcBorders>
            <w:shd w:val="clear" w:color="000000" w:fill="F2F2F2"/>
            <w:noWrap/>
            <w:vAlign w:val="center"/>
            <w:hideMark/>
          </w:tcPr>
          <w:p w14:paraId="49C2E3C6"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95     </w:t>
            </w:r>
          </w:p>
        </w:tc>
        <w:tc>
          <w:tcPr>
            <w:tcW w:w="2906" w:type="dxa"/>
            <w:tcBorders>
              <w:top w:val="nil"/>
              <w:left w:val="nil"/>
              <w:bottom w:val="nil"/>
              <w:right w:val="nil"/>
            </w:tcBorders>
            <w:shd w:val="clear" w:color="000000" w:fill="F2F2F2"/>
            <w:noWrap/>
            <w:vAlign w:val="center"/>
            <w:hideMark/>
          </w:tcPr>
          <w:p w14:paraId="54A8FECA"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Guaviare </w:t>
            </w:r>
          </w:p>
        </w:tc>
        <w:tc>
          <w:tcPr>
            <w:tcW w:w="1799" w:type="dxa"/>
            <w:tcBorders>
              <w:top w:val="nil"/>
              <w:left w:val="nil"/>
              <w:bottom w:val="nil"/>
              <w:right w:val="nil"/>
            </w:tcBorders>
            <w:shd w:val="clear" w:color="000000" w:fill="F2F2F2"/>
            <w:noWrap/>
            <w:vAlign w:val="center"/>
            <w:hideMark/>
          </w:tcPr>
          <w:p w14:paraId="72437FBE"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22.061     </w:t>
            </w:r>
          </w:p>
        </w:tc>
        <w:tc>
          <w:tcPr>
            <w:tcW w:w="1738" w:type="dxa"/>
            <w:tcBorders>
              <w:top w:val="nil"/>
              <w:left w:val="nil"/>
              <w:bottom w:val="nil"/>
              <w:right w:val="single" w:sz="4" w:space="0" w:color="auto"/>
            </w:tcBorders>
            <w:shd w:val="clear" w:color="000000" w:fill="F2F2F2"/>
            <w:noWrap/>
            <w:vAlign w:val="center"/>
            <w:hideMark/>
          </w:tcPr>
          <w:p w14:paraId="22889F9A"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0,00 </w:t>
            </w:r>
          </w:p>
        </w:tc>
        <w:tc>
          <w:tcPr>
            <w:tcW w:w="155" w:type="dxa"/>
            <w:vAlign w:val="center"/>
            <w:hideMark/>
          </w:tcPr>
          <w:p w14:paraId="6E5F88EC" w14:textId="77777777" w:rsidR="00AD7A82" w:rsidRPr="00AD7A82" w:rsidRDefault="00AD7A82">
            <w:pPr>
              <w:rPr>
                <w:sz w:val="18"/>
                <w:szCs w:val="18"/>
              </w:rPr>
            </w:pPr>
          </w:p>
        </w:tc>
      </w:tr>
      <w:tr w:rsidR="00AD7A82" w:rsidRPr="00AD7A82" w14:paraId="1910DF9E" w14:textId="77777777" w:rsidTr="00AD7A82">
        <w:trPr>
          <w:trHeight w:val="268"/>
          <w:jc w:val="center"/>
        </w:trPr>
        <w:tc>
          <w:tcPr>
            <w:tcW w:w="1351" w:type="dxa"/>
            <w:tcBorders>
              <w:top w:val="nil"/>
              <w:left w:val="single" w:sz="4" w:space="0" w:color="auto"/>
              <w:bottom w:val="nil"/>
              <w:right w:val="nil"/>
            </w:tcBorders>
            <w:shd w:val="clear" w:color="000000" w:fill="FFFFFF"/>
            <w:noWrap/>
            <w:vAlign w:val="center"/>
            <w:hideMark/>
          </w:tcPr>
          <w:p w14:paraId="4D1DB202"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86     </w:t>
            </w:r>
          </w:p>
        </w:tc>
        <w:tc>
          <w:tcPr>
            <w:tcW w:w="2906" w:type="dxa"/>
            <w:tcBorders>
              <w:top w:val="nil"/>
              <w:left w:val="nil"/>
              <w:bottom w:val="nil"/>
              <w:right w:val="nil"/>
            </w:tcBorders>
            <w:shd w:val="clear" w:color="000000" w:fill="FFFFFF"/>
            <w:noWrap/>
            <w:vAlign w:val="center"/>
            <w:hideMark/>
          </w:tcPr>
          <w:p w14:paraId="0742CB66"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Putumayo </w:t>
            </w:r>
          </w:p>
        </w:tc>
        <w:tc>
          <w:tcPr>
            <w:tcW w:w="1799" w:type="dxa"/>
            <w:tcBorders>
              <w:top w:val="nil"/>
              <w:left w:val="nil"/>
              <w:bottom w:val="nil"/>
              <w:right w:val="nil"/>
            </w:tcBorders>
            <w:shd w:val="clear" w:color="000000" w:fill="FFFFFF"/>
            <w:noWrap/>
            <w:vAlign w:val="center"/>
            <w:hideMark/>
          </w:tcPr>
          <w:p w14:paraId="2881C546"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61.683     </w:t>
            </w:r>
          </w:p>
        </w:tc>
        <w:tc>
          <w:tcPr>
            <w:tcW w:w="1738" w:type="dxa"/>
            <w:tcBorders>
              <w:top w:val="nil"/>
              <w:left w:val="nil"/>
              <w:bottom w:val="nil"/>
              <w:right w:val="single" w:sz="4" w:space="0" w:color="auto"/>
            </w:tcBorders>
            <w:shd w:val="clear" w:color="000000" w:fill="FFFFFF"/>
            <w:noWrap/>
            <w:vAlign w:val="center"/>
            <w:hideMark/>
          </w:tcPr>
          <w:p w14:paraId="1579D145"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0,00 </w:t>
            </w:r>
          </w:p>
        </w:tc>
        <w:tc>
          <w:tcPr>
            <w:tcW w:w="155" w:type="dxa"/>
            <w:vAlign w:val="center"/>
            <w:hideMark/>
          </w:tcPr>
          <w:p w14:paraId="7D5DF870" w14:textId="77777777" w:rsidR="00AD7A82" w:rsidRPr="00AD7A82" w:rsidRDefault="00AD7A82">
            <w:pPr>
              <w:rPr>
                <w:sz w:val="18"/>
                <w:szCs w:val="18"/>
              </w:rPr>
            </w:pPr>
          </w:p>
        </w:tc>
      </w:tr>
      <w:tr w:rsidR="00AD7A82" w:rsidRPr="00AD7A82" w14:paraId="401201B3" w14:textId="77777777" w:rsidTr="00AD7A82">
        <w:trPr>
          <w:trHeight w:val="268"/>
          <w:jc w:val="center"/>
        </w:trPr>
        <w:tc>
          <w:tcPr>
            <w:tcW w:w="1351" w:type="dxa"/>
            <w:tcBorders>
              <w:top w:val="nil"/>
              <w:left w:val="single" w:sz="4" w:space="0" w:color="auto"/>
              <w:bottom w:val="single" w:sz="4" w:space="0" w:color="auto"/>
              <w:right w:val="nil"/>
            </w:tcBorders>
            <w:shd w:val="clear" w:color="000000" w:fill="F2F2F2"/>
            <w:noWrap/>
            <w:vAlign w:val="center"/>
            <w:hideMark/>
          </w:tcPr>
          <w:p w14:paraId="375F7ED9" w14:textId="77777777" w:rsidR="00AD7A82" w:rsidRPr="00AD7A82" w:rsidRDefault="00AD7A82">
            <w:pPr>
              <w:jc w:val="center"/>
              <w:rPr>
                <w:rFonts w:ascii="Segoe UI" w:hAnsi="Segoe UI" w:cs="Segoe UI"/>
                <w:sz w:val="18"/>
                <w:szCs w:val="18"/>
              </w:rPr>
            </w:pPr>
            <w:r w:rsidRPr="00AD7A82">
              <w:rPr>
                <w:rFonts w:ascii="Segoe UI" w:hAnsi="Segoe UI" w:cs="Segoe UI"/>
                <w:sz w:val="18"/>
                <w:szCs w:val="18"/>
              </w:rPr>
              <w:t xml:space="preserve">           97     </w:t>
            </w:r>
          </w:p>
        </w:tc>
        <w:tc>
          <w:tcPr>
            <w:tcW w:w="2906" w:type="dxa"/>
            <w:tcBorders>
              <w:top w:val="nil"/>
              <w:left w:val="nil"/>
              <w:bottom w:val="single" w:sz="4" w:space="0" w:color="auto"/>
              <w:right w:val="nil"/>
            </w:tcBorders>
            <w:shd w:val="clear" w:color="000000" w:fill="F2F2F2"/>
            <w:noWrap/>
            <w:vAlign w:val="center"/>
            <w:hideMark/>
          </w:tcPr>
          <w:p w14:paraId="65922B7D" w14:textId="77777777" w:rsidR="00AD7A82" w:rsidRPr="00AD7A82" w:rsidRDefault="00AD7A82">
            <w:pPr>
              <w:rPr>
                <w:rFonts w:ascii="Segoe UI" w:hAnsi="Segoe UI" w:cs="Segoe UI"/>
                <w:sz w:val="18"/>
                <w:szCs w:val="18"/>
              </w:rPr>
            </w:pPr>
            <w:r w:rsidRPr="00AD7A82">
              <w:rPr>
                <w:rFonts w:ascii="Segoe UI" w:hAnsi="Segoe UI" w:cs="Segoe UI"/>
                <w:sz w:val="18"/>
                <w:szCs w:val="18"/>
              </w:rPr>
              <w:t xml:space="preserve"> Vaupés </w:t>
            </w:r>
          </w:p>
        </w:tc>
        <w:tc>
          <w:tcPr>
            <w:tcW w:w="1799" w:type="dxa"/>
            <w:tcBorders>
              <w:top w:val="nil"/>
              <w:left w:val="nil"/>
              <w:bottom w:val="single" w:sz="4" w:space="0" w:color="auto"/>
              <w:right w:val="nil"/>
            </w:tcBorders>
            <w:shd w:val="clear" w:color="000000" w:fill="F2F2F2"/>
            <w:noWrap/>
            <w:vAlign w:val="center"/>
            <w:hideMark/>
          </w:tcPr>
          <w:p w14:paraId="339B4063"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90     </w:t>
            </w:r>
          </w:p>
        </w:tc>
        <w:tc>
          <w:tcPr>
            <w:tcW w:w="1738" w:type="dxa"/>
            <w:tcBorders>
              <w:top w:val="nil"/>
              <w:left w:val="nil"/>
              <w:bottom w:val="single" w:sz="4" w:space="0" w:color="auto"/>
              <w:right w:val="single" w:sz="4" w:space="0" w:color="auto"/>
            </w:tcBorders>
            <w:shd w:val="clear" w:color="000000" w:fill="F2F2F2"/>
            <w:noWrap/>
            <w:vAlign w:val="center"/>
            <w:hideMark/>
          </w:tcPr>
          <w:p w14:paraId="6601F7F8" w14:textId="77777777" w:rsidR="00AD7A82" w:rsidRPr="00AD7A82" w:rsidRDefault="00AD7A82">
            <w:pPr>
              <w:jc w:val="right"/>
              <w:rPr>
                <w:rFonts w:ascii="Segoe UI" w:hAnsi="Segoe UI" w:cs="Segoe UI"/>
                <w:sz w:val="18"/>
                <w:szCs w:val="18"/>
              </w:rPr>
            </w:pPr>
            <w:r w:rsidRPr="00AD7A82">
              <w:rPr>
                <w:rFonts w:ascii="Segoe UI" w:hAnsi="Segoe UI" w:cs="Segoe UI"/>
                <w:sz w:val="18"/>
                <w:szCs w:val="18"/>
              </w:rPr>
              <w:t xml:space="preserve">                   0,00 </w:t>
            </w:r>
          </w:p>
        </w:tc>
        <w:tc>
          <w:tcPr>
            <w:tcW w:w="155" w:type="dxa"/>
            <w:vAlign w:val="center"/>
            <w:hideMark/>
          </w:tcPr>
          <w:p w14:paraId="7492D569" w14:textId="77777777" w:rsidR="00AD7A82" w:rsidRPr="00AD7A82" w:rsidRDefault="00AD7A82">
            <w:pPr>
              <w:rPr>
                <w:sz w:val="18"/>
                <w:szCs w:val="18"/>
              </w:rPr>
            </w:pPr>
          </w:p>
        </w:tc>
      </w:tr>
    </w:tbl>
    <w:p w14:paraId="073FB7F7" w14:textId="40C58373" w:rsidR="008924BE" w:rsidRDefault="008924BE" w:rsidP="00FC1D52">
      <w:pPr>
        <w:rPr>
          <w:rFonts w:cstheme="minorHAnsi"/>
          <w:szCs w:val="22"/>
        </w:rPr>
      </w:pPr>
    </w:p>
    <w:p w14:paraId="7450B993" w14:textId="57EC44B2" w:rsidR="007B40DF" w:rsidRDefault="007B40DF" w:rsidP="00FC1D52">
      <w:pPr>
        <w:rPr>
          <w:rFonts w:cstheme="minorHAnsi"/>
          <w:szCs w:val="22"/>
        </w:rPr>
      </w:pPr>
    </w:p>
    <w:p w14:paraId="1E144A17" w14:textId="4316C32E" w:rsidR="007B40DF" w:rsidRDefault="00154A4C" w:rsidP="00FC1D52">
      <w:pPr>
        <w:rPr>
          <w:rFonts w:cstheme="minorHAnsi"/>
          <w:szCs w:val="22"/>
        </w:rPr>
      </w:pPr>
      <w:r>
        <w:rPr>
          <w:rFonts w:cstheme="minorHAnsi"/>
          <w:szCs w:val="22"/>
        </w:rPr>
        <w:lastRenderedPageBreak/>
        <w:t>REFERENCIAS</w:t>
      </w:r>
    </w:p>
    <w:p w14:paraId="5B4A9480" w14:textId="53570915" w:rsidR="00154A4C" w:rsidRDefault="00154A4C" w:rsidP="00FC1D52">
      <w:pPr>
        <w:rPr>
          <w:rFonts w:cstheme="minorHAnsi"/>
          <w:szCs w:val="22"/>
        </w:rPr>
      </w:pPr>
    </w:p>
    <w:p w14:paraId="4D044238" w14:textId="26EEE549" w:rsidR="00154A4C" w:rsidRDefault="00154A4C" w:rsidP="00FC1D52">
      <w:pPr>
        <w:rPr>
          <w:rFonts w:cstheme="minorHAnsi"/>
          <w:szCs w:val="22"/>
        </w:rPr>
      </w:pPr>
    </w:p>
    <w:p w14:paraId="35DEF84A" w14:textId="7297E7FD" w:rsidR="00154A4C" w:rsidRPr="003E2F26" w:rsidRDefault="00154A4C" w:rsidP="00FC1D52">
      <w:pPr>
        <w:rPr>
          <w:rFonts w:cstheme="minorHAnsi"/>
          <w:szCs w:val="22"/>
          <w:lang w:val="en-US"/>
        </w:rPr>
      </w:pPr>
      <w:r w:rsidRPr="00DB61D8">
        <w:rPr>
          <w:rFonts w:cstheme="minorHAnsi"/>
          <w:szCs w:val="22"/>
        </w:rPr>
        <w:t>DUBE</w:t>
      </w:r>
      <w:r w:rsidR="003E2F26" w:rsidRPr="00DB61D8">
        <w:rPr>
          <w:rFonts w:cstheme="minorHAnsi"/>
          <w:szCs w:val="22"/>
        </w:rPr>
        <w:t>, O</w:t>
      </w:r>
      <w:r w:rsidRPr="00DB61D8">
        <w:rPr>
          <w:rFonts w:cstheme="minorHAnsi"/>
          <w:szCs w:val="22"/>
        </w:rPr>
        <w:t xml:space="preserve"> </w:t>
      </w:r>
      <w:r w:rsidR="00DB61D8" w:rsidRPr="00DB61D8">
        <w:rPr>
          <w:rFonts w:cstheme="minorHAnsi"/>
          <w:szCs w:val="22"/>
        </w:rPr>
        <w:t>y</w:t>
      </w:r>
      <w:r w:rsidR="003E2F26" w:rsidRPr="00DB61D8">
        <w:rPr>
          <w:rFonts w:cstheme="minorHAnsi"/>
          <w:szCs w:val="22"/>
        </w:rPr>
        <w:t xml:space="preserve"> VARGAS, J (2013). </w:t>
      </w:r>
      <w:r w:rsidR="003E2F26">
        <w:rPr>
          <w:rFonts w:cstheme="minorHAnsi"/>
          <w:szCs w:val="22"/>
          <w:lang w:val="en-US"/>
        </w:rPr>
        <w:t>“</w:t>
      </w:r>
      <w:r w:rsidR="003E2F26" w:rsidRPr="003E2F26">
        <w:rPr>
          <w:rFonts w:cstheme="minorHAnsi"/>
          <w:szCs w:val="22"/>
          <w:lang w:val="en-US"/>
        </w:rPr>
        <w:t>Commodity Price Shocks and Civil Conflict: Evidence from Colombia</w:t>
      </w:r>
      <w:r w:rsidR="003E2F26">
        <w:rPr>
          <w:rFonts w:cstheme="minorHAnsi"/>
          <w:szCs w:val="22"/>
          <w:lang w:val="en-US"/>
        </w:rPr>
        <w:t>”</w:t>
      </w:r>
    </w:p>
    <w:p w14:paraId="148B445F" w14:textId="209358AB" w:rsidR="00154A4C" w:rsidRDefault="00154A4C" w:rsidP="00154A4C">
      <w:pPr>
        <w:rPr>
          <w:rFonts w:cstheme="minorHAnsi"/>
          <w:szCs w:val="22"/>
          <w:lang w:val="en-US"/>
        </w:rPr>
      </w:pPr>
    </w:p>
    <w:p w14:paraId="4FBD6346" w14:textId="243C7364" w:rsidR="003E2F26" w:rsidRPr="003E2F26" w:rsidRDefault="003E2F26" w:rsidP="00154A4C">
      <w:pPr>
        <w:rPr>
          <w:rFonts w:cstheme="minorHAnsi"/>
          <w:szCs w:val="22"/>
        </w:rPr>
      </w:pPr>
      <w:r w:rsidRPr="003E2F26">
        <w:rPr>
          <w:rFonts w:cstheme="minorHAnsi"/>
          <w:szCs w:val="22"/>
        </w:rPr>
        <w:t>GÁFARO,</w:t>
      </w:r>
      <w:r w:rsidR="00DB61D8">
        <w:rPr>
          <w:rFonts w:cstheme="minorHAnsi"/>
          <w:szCs w:val="22"/>
        </w:rPr>
        <w:t xml:space="preserve"> </w:t>
      </w:r>
      <w:r>
        <w:rPr>
          <w:rFonts w:cstheme="minorHAnsi"/>
          <w:szCs w:val="22"/>
        </w:rPr>
        <w:t>M</w:t>
      </w:r>
      <w:r w:rsidR="00DB61D8">
        <w:rPr>
          <w:rFonts w:cstheme="minorHAnsi"/>
          <w:szCs w:val="22"/>
        </w:rPr>
        <w:t xml:space="preserve">., </w:t>
      </w:r>
      <w:r w:rsidRPr="003E2F26">
        <w:rPr>
          <w:rFonts w:cstheme="minorHAnsi"/>
          <w:szCs w:val="22"/>
        </w:rPr>
        <w:t>COBO</w:t>
      </w:r>
      <w:r w:rsidR="00DB61D8">
        <w:rPr>
          <w:rFonts w:cstheme="minorHAnsi"/>
          <w:szCs w:val="22"/>
        </w:rPr>
        <w:t xml:space="preserve">, A., </w:t>
      </w:r>
      <w:r w:rsidRPr="003E2F26">
        <w:rPr>
          <w:rFonts w:cstheme="minorHAnsi"/>
          <w:szCs w:val="22"/>
        </w:rPr>
        <w:t>CAICEDO</w:t>
      </w:r>
      <w:r w:rsidR="00DB61D8">
        <w:rPr>
          <w:rFonts w:cstheme="minorHAnsi"/>
          <w:szCs w:val="22"/>
        </w:rPr>
        <w:t>,E.,</w:t>
      </w:r>
      <w:r>
        <w:rPr>
          <w:rFonts w:cstheme="minorHAnsi"/>
          <w:szCs w:val="22"/>
        </w:rPr>
        <w:t xml:space="preserve"> </w:t>
      </w:r>
      <w:r w:rsidR="00DB61D8">
        <w:rPr>
          <w:rFonts w:cstheme="minorHAnsi"/>
          <w:szCs w:val="22"/>
        </w:rPr>
        <w:t>y</w:t>
      </w:r>
      <w:r>
        <w:rPr>
          <w:rFonts w:cstheme="minorHAnsi"/>
          <w:szCs w:val="22"/>
        </w:rPr>
        <w:t xml:space="preserve"> GONZALEZ (2022)</w:t>
      </w:r>
      <w:r w:rsidR="00B53E23">
        <w:rPr>
          <w:rFonts w:cstheme="minorHAnsi"/>
          <w:szCs w:val="22"/>
        </w:rPr>
        <w:t>. “Inflación en Colombia. Una comparación con otros países”</w:t>
      </w:r>
    </w:p>
    <w:p w14:paraId="517F8095" w14:textId="77777777" w:rsidR="00DB61D8" w:rsidRDefault="00DB61D8" w:rsidP="00154A4C">
      <w:pPr>
        <w:rPr>
          <w:rFonts w:ascii="Times" w:hAnsi="Times"/>
        </w:rPr>
      </w:pPr>
    </w:p>
    <w:p w14:paraId="53CACEEA" w14:textId="5900C228" w:rsidR="003E2F26" w:rsidRPr="003E2F26" w:rsidRDefault="003E2F26" w:rsidP="00154A4C">
      <w:pPr>
        <w:rPr>
          <w:rFonts w:cstheme="minorHAnsi"/>
          <w:szCs w:val="22"/>
        </w:rPr>
      </w:pPr>
      <w:r w:rsidRPr="004A3163">
        <w:rPr>
          <w:rFonts w:ascii="Times" w:hAnsi="Times"/>
        </w:rPr>
        <w:t>H</w:t>
      </w:r>
      <w:r>
        <w:rPr>
          <w:rFonts w:ascii="Times" w:hAnsi="Times"/>
        </w:rPr>
        <w:t>OFSTETTER</w:t>
      </w:r>
      <w:r w:rsidR="00DB61D8">
        <w:rPr>
          <w:rFonts w:ascii="Times" w:hAnsi="Times"/>
        </w:rPr>
        <w:t>, M.,</w:t>
      </w:r>
      <w:r>
        <w:rPr>
          <w:rFonts w:ascii="Times" w:hAnsi="Times"/>
        </w:rPr>
        <w:t xml:space="preserve"> </w:t>
      </w:r>
      <w:r w:rsidR="00DB61D8">
        <w:rPr>
          <w:rFonts w:ascii="Times" w:hAnsi="Times"/>
        </w:rPr>
        <w:t>y</w:t>
      </w:r>
      <w:r>
        <w:rPr>
          <w:rFonts w:ascii="Times" w:hAnsi="Times"/>
        </w:rPr>
        <w:t xml:space="preserve"> REYNA</w:t>
      </w:r>
      <w:r w:rsidR="00DB61D8">
        <w:rPr>
          <w:rFonts w:ascii="Times" w:hAnsi="Times"/>
        </w:rPr>
        <w:t>, D.</w:t>
      </w:r>
      <w:r>
        <w:rPr>
          <w:rFonts w:ascii="Times" w:hAnsi="Times"/>
        </w:rPr>
        <w:t xml:space="preserve"> (2022). “El regreso de la inflación”. Nota </w:t>
      </w:r>
      <w:r w:rsidR="0037551B">
        <w:rPr>
          <w:rFonts w:ascii="Times" w:hAnsi="Times"/>
        </w:rPr>
        <w:t>Macroeconómica</w:t>
      </w:r>
      <w:r>
        <w:rPr>
          <w:rFonts w:ascii="Times" w:hAnsi="Times"/>
        </w:rPr>
        <w:t xml:space="preserve"> No. 42. </w:t>
      </w:r>
    </w:p>
    <w:p w14:paraId="2194B780" w14:textId="77777777" w:rsidR="00154A4C" w:rsidRPr="003E2F26" w:rsidRDefault="00154A4C" w:rsidP="00154A4C">
      <w:pPr>
        <w:rPr>
          <w:rFonts w:cstheme="minorHAnsi"/>
          <w:szCs w:val="22"/>
        </w:rPr>
      </w:pPr>
    </w:p>
    <w:p w14:paraId="61505FAC" w14:textId="60DF8BB1" w:rsidR="00154A4C" w:rsidRPr="00154A4C" w:rsidRDefault="00154A4C" w:rsidP="00154A4C">
      <w:pPr>
        <w:rPr>
          <w:rFonts w:cstheme="minorHAnsi"/>
          <w:szCs w:val="22"/>
        </w:rPr>
      </w:pPr>
      <w:r w:rsidRPr="00675939">
        <w:rPr>
          <w:rFonts w:cstheme="minorHAnsi"/>
          <w:szCs w:val="22"/>
        </w:rPr>
        <w:t xml:space="preserve">FOOD AND AGRICULTURE ORGANIZATION. </w:t>
      </w:r>
      <w:r w:rsidRPr="00154A4C">
        <w:rPr>
          <w:rFonts w:cstheme="minorHAnsi"/>
          <w:szCs w:val="22"/>
        </w:rPr>
        <w:t xml:space="preserve">(1992). Los fertilizantes y su uso. </w:t>
      </w:r>
    </w:p>
    <w:p w14:paraId="20966664" w14:textId="77777777" w:rsidR="00154A4C" w:rsidRDefault="00154A4C" w:rsidP="00154A4C">
      <w:pPr>
        <w:rPr>
          <w:rFonts w:cstheme="minorHAnsi"/>
          <w:szCs w:val="22"/>
        </w:rPr>
      </w:pPr>
    </w:p>
    <w:p w14:paraId="6126471C" w14:textId="6AD8E390" w:rsidR="00154A4C" w:rsidRDefault="00154A4C" w:rsidP="00154A4C">
      <w:pPr>
        <w:rPr>
          <w:rFonts w:cstheme="minorHAnsi"/>
          <w:szCs w:val="22"/>
        </w:rPr>
      </w:pPr>
      <w:r>
        <w:rPr>
          <w:rFonts w:cstheme="minorHAnsi"/>
          <w:szCs w:val="22"/>
        </w:rPr>
        <w:t>MINISTERIO DE AGRICULTURA DE COLOMBIA</w:t>
      </w:r>
      <w:r w:rsidRPr="00154A4C">
        <w:rPr>
          <w:rFonts w:cstheme="minorHAnsi"/>
          <w:szCs w:val="22"/>
        </w:rPr>
        <w:t xml:space="preserve">. (2021, Marzo) </w:t>
      </w:r>
      <w:r>
        <w:rPr>
          <w:rFonts w:cstheme="minorHAnsi"/>
          <w:szCs w:val="22"/>
        </w:rPr>
        <w:t>“</w:t>
      </w:r>
      <w:r w:rsidR="0037551B" w:rsidRPr="00154A4C">
        <w:rPr>
          <w:rFonts w:cstheme="minorHAnsi"/>
          <w:szCs w:val="22"/>
        </w:rPr>
        <w:t>Boletín</w:t>
      </w:r>
      <w:r w:rsidRPr="00154A4C">
        <w:rPr>
          <w:rFonts w:cstheme="minorHAnsi"/>
          <w:szCs w:val="22"/>
        </w:rPr>
        <w:t xml:space="preserve"> de precios de insumos agropecuarios</w:t>
      </w:r>
      <w:r>
        <w:rPr>
          <w:rFonts w:cstheme="minorHAnsi"/>
          <w:szCs w:val="22"/>
        </w:rPr>
        <w:t xml:space="preserve">” </w:t>
      </w:r>
    </w:p>
    <w:p w14:paraId="163A66C2" w14:textId="5984E928" w:rsidR="00154A4C" w:rsidRDefault="00154A4C" w:rsidP="00154A4C">
      <w:pPr>
        <w:rPr>
          <w:rFonts w:cstheme="minorHAnsi"/>
          <w:szCs w:val="22"/>
        </w:rPr>
      </w:pPr>
    </w:p>
    <w:p w14:paraId="5AF184B6" w14:textId="76537DAF" w:rsidR="00154A4C" w:rsidRDefault="00154A4C" w:rsidP="00154A4C">
      <w:r>
        <w:rPr>
          <w:rFonts w:cstheme="minorHAnsi"/>
          <w:szCs w:val="22"/>
        </w:rPr>
        <w:t xml:space="preserve">DEPARTAMENTO ADMNISTRATIVO NACIONAL DE ESTADISTICA (2022). “ </w:t>
      </w:r>
      <w:r w:rsidR="0037551B" w:rsidRPr="00CA7331">
        <w:t>Índice</w:t>
      </w:r>
      <w:r w:rsidRPr="00CA7331">
        <w:t xml:space="preserve"> de </w:t>
      </w:r>
      <w:r>
        <w:t>Precios al Consumidor Octubre 2022”</w:t>
      </w:r>
    </w:p>
    <w:p w14:paraId="4FB9CF03" w14:textId="77777777" w:rsidR="003E2F26" w:rsidRDefault="003E2F26" w:rsidP="00154A4C">
      <w:pPr>
        <w:rPr>
          <w:rFonts w:cstheme="minorHAnsi"/>
          <w:szCs w:val="22"/>
        </w:rPr>
      </w:pPr>
    </w:p>
    <w:p w14:paraId="5F8C5D94" w14:textId="77777777" w:rsidR="00154A4C" w:rsidRDefault="00154A4C" w:rsidP="00FC1D52">
      <w:pPr>
        <w:rPr>
          <w:rFonts w:cstheme="minorHAnsi"/>
          <w:szCs w:val="22"/>
        </w:rPr>
      </w:pPr>
    </w:p>
    <w:p w14:paraId="36F3D3F2" w14:textId="77777777" w:rsidR="00154A4C" w:rsidRPr="004B1DF7" w:rsidRDefault="00154A4C" w:rsidP="00FC1D52">
      <w:pPr>
        <w:rPr>
          <w:rFonts w:cstheme="minorHAnsi"/>
          <w:szCs w:val="22"/>
        </w:rPr>
      </w:pPr>
    </w:p>
    <w:sectPr w:rsidR="00154A4C" w:rsidRPr="004B1DF7" w:rsidSect="005B3F7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16143" w14:textId="77777777" w:rsidR="00D65E1C" w:rsidRDefault="00D65E1C">
      <w:r>
        <w:separator/>
      </w:r>
    </w:p>
  </w:endnote>
  <w:endnote w:type="continuationSeparator" w:id="0">
    <w:p w14:paraId="20CD1F0A" w14:textId="77777777" w:rsidR="00D65E1C" w:rsidRDefault="00D65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58622" w14:textId="77777777" w:rsidR="00D65E1C" w:rsidRDefault="00D65E1C">
      <w:r>
        <w:separator/>
      </w:r>
    </w:p>
  </w:footnote>
  <w:footnote w:type="continuationSeparator" w:id="0">
    <w:p w14:paraId="22420A32" w14:textId="77777777" w:rsidR="00D65E1C" w:rsidRDefault="00D65E1C">
      <w:r>
        <w:continuationSeparator/>
      </w:r>
    </w:p>
  </w:footnote>
  <w:footnote w:id="1">
    <w:p w14:paraId="0095C7D4" w14:textId="2E945DD9" w:rsidR="007716E6" w:rsidRPr="00CA7331" w:rsidRDefault="007716E6" w:rsidP="00CA7331">
      <w:pPr>
        <w:pStyle w:val="Textonotapie"/>
        <w:ind w:firstLine="0"/>
      </w:pPr>
      <w:r>
        <w:rPr>
          <w:rStyle w:val="Refdenotaalpie"/>
        </w:rPr>
        <w:footnoteRef/>
      </w:r>
      <w:r w:rsidRPr="00675939">
        <w:t xml:space="preserve"> </w:t>
      </w:r>
      <w:r w:rsidR="00CA7331" w:rsidRPr="00675939">
        <w:t xml:space="preserve">DANE (2022). </w:t>
      </w:r>
      <w:r w:rsidR="00B53E23" w:rsidRPr="00CA7331">
        <w:t>Índice</w:t>
      </w:r>
      <w:r w:rsidR="00CA7331" w:rsidRPr="00CA7331">
        <w:t xml:space="preserve"> de </w:t>
      </w:r>
      <w:r w:rsidR="00CA7331">
        <w:t>Precios al Consumidor Octubre 2022</w:t>
      </w:r>
      <w:r w:rsidRPr="00CA7331">
        <w:t>:</w:t>
      </w:r>
      <w:r w:rsidR="00CA7331">
        <w:t xml:space="preserve"> </w:t>
      </w:r>
      <w:hyperlink r:id="rId1" w:history="1">
        <w:r w:rsidRPr="00CA7331">
          <w:rPr>
            <w:rStyle w:val="Hipervnculo"/>
          </w:rPr>
          <w:t>https://www.dane.gov.co/files/investigaciones/boletines/ipc/cp_ipc_oct22.pdf</w:t>
        </w:r>
      </w:hyperlink>
    </w:p>
  </w:footnote>
  <w:footnote w:id="2">
    <w:p w14:paraId="6F9D3DBE" w14:textId="6C4C0861" w:rsidR="003A1B5A" w:rsidRPr="003A1B5A" w:rsidRDefault="003A1B5A">
      <w:pPr>
        <w:pStyle w:val="Textonotapie"/>
        <w:rPr>
          <w:lang w:val="es-ES"/>
        </w:rPr>
      </w:pPr>
      <w:r>
        <w:rPr>
          <w:rStyle w:val="Refdenotaalpie"/>
        </w:rPr>
        <w:footnoteRef/>
      </w:r>
      <w:r>
        <w:t xml:space="preserve"> </w:t>
      </w:r>
      <w:r w:rsidR="006E4E53">
        <w:rPr>
          <w:lang w:val="es-ES"/>
        </w:rPr>
        <w:t xml:space="preserve">Aquí hace referencia al IPC acumulado de los últimos 12 meses respecto al mes que se mide.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2227"/>
      <w:docPartObj>
        <w:docPartGallery w:val="Page Numbers (Top of Page)"/>
        <w:docPartUnique/>
      </w:docPartObj>
    </w:sdtPr>
    <w:sdtEndPr>
      <w:rPr>
        <w:noProof/>
      </w:rPr>
    </w:sdtEndPr>
    <w:sdtContent>
      <w:p w14:paraId="15E93C99" w14:textId="29B27B69" w:rsidR="004B37C9" w:rsidRPr="00BD12D7" w:rsidRDefault="0016551F" w:rsidP="00BD12D7">
        <w:pPr>
          <w:pStyle w:val="NormalWeb"/>
          <w:rPr>
            <w:rFonts w:ascii="Times" w:hAnsi="Times"/>
            <w:b/>
            <w:bCs/>
            <w:sz w:val="28"/>
            <w:szCs w:val="28"/>
          </w:rPr>
        </w:pPr>
        <w:r>
          <w:rPr>
            <w:rFonts w:ascii="Times" w:hAnsi="Times"/>
            <w:sz w:val="28"/>
            <w:szCs w:val="28"/>
          </w:rPr>
          <w:t>LOS FERTILIZANTES Y LA INFLACIÓN</w:t>
        </w:r>
        <w:r w:rsidR="009629E5" w:rsidRPr="00BD12D7">
          <w:tab/>
        </w:r>
        <w:r w:rsidR="00CA7331">
          <w:t xml:space="preserve">     </w:t>
        </w:r>
        <w:r w:rsidR="004B37C9" w:rsidRPr="00E92404">
          <w:rPr>
            <w:rFonts w:cstheme="minorHAnsi"/>
          </w:rPr>
          <w:fldChar w:fldCharType="begin"/>
        </w:r>
        <w:r w:rsidR="004B37C9" w:rsidRPr="00E92404">
          <w:rPr>
            <w:rFonts w:cstheme="minorHAnsi"/>
          </w:rPr>
          <w:instrText xml:space="preserve"> PAGE   \* MERGEFORMAT </w:instrText>
        </w:r>
        <w:r w:rsidR="004B37C9" w:rsidRPr="00E92404">
          <w:rPr>
            <w:rFonts w:cstheme="minorHAnsi"/>
          </w:rPr>
          <w:fldChar w:fldCharType="separate"/>
        </w:r>
        <w:r w:rsidR="00914EE2">
          <w:rPr>
            <w:rFonts w:cstheme="minorHAnsi"/>
            <w:noProof/>
          </w:rPr>
          <w:t>13</w:t>
        </w:r>
        <w:r w:rsidR="004B37C9" w:rsidRPr="00E92404">
          <w:rPr>
            <w:rFonts w:cstheme="minorHAns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 w15:restartNumberingAfterBreak="0">
    <w:nsid w:val="35AC3CB0"/>
    <w:multiLevelType w:val="multilevel"/>
    <w:tmpl w:val="664E27E8"/>
    <w:numStyleLink w:val="Nivel1"/>
  </w:abstractNum>
  <w:abstractNum w:abstractNumId="8"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023381">
    <w:abstractNumId w:val="12"/>
  </w:num>
  <w:num w:numId="2" w16cid:durableId="1357194614">
    <w:abstractNumId w:val="5"/>
  </w:num>
  <w:num w:numId="3" w16cid:durableId="742070022">
    <w:abstractNumId w:val="9"/>
  </w:num>
  <w:num w:numId="4" w16cid:durableId="233778016">
    <w:abstractNumId w:val="1"/>
  </w:num>
  <w:num w:numId="5" w16cid:durableId="1145899092">
    <w:abstractNumId w:val="10"/>
  </w:num>
  <w:num w:numId="6" w16cid:durableId="1759793258">
    <w:abstractNumId w:val="7"/>
  </w:num>
  <w:num w:numId="7" w16cid:durableId="1451850497">
    <w:abstractNumId w:val="2"/>
  </w:num>
  <w:num w:numId="8" w16cid:durableId="57894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6253501">
    <w:abstractNumId w:val="3"/>
  </w:num>
  <w:num w:numId="10" w16cid:durableId="1481774263">
    <w:abstractNumId w:val="0"/>
  </w:num>
  <w:num w:numId="11" w16cid:durableId="1114909501">
    <w:abstractNumId w:val="8"/>
  </w:num>
  <w:num w:numId="12" w16cid:durableId="1506555032">
    <w:abstractNumId w:val="6"/>
  </w:num>
  <w:num w:numId="13" w16cid:durableId="1485316009">
    <w:abstractNumId w:val="4"/>
  </w:num>
  <w:num w:numId="14" w16cid:durableId="20590907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56A7"/>
    <w:rsid w:val="0003581A"/>
    <w:rsid w:val="00040B33"/>
    <w:rsid w:val="000432A2"/>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23B1A"/>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41356"/>
    <w:rsid w:val="00243DB3"/>
    <w:rsid w:val="00251BB5"/>
    <w:rsid w:val="00253B32"/>
    <w:rsid w:val="00261446"/>
    <w:rsid w:val="0026530A"/>
    <w:rsid w:val="00273883"/>
    <w:rsid w:val="002750B1"/>
    <w:rsid w:val="00280BCC"/>
    <w:rsid w:val="00283E7C"/>
    <w:rsid w:val="00285CD1"/>
    <w:rsid w:val="0028679F"/>
    <w:rsid w:val="002B01EC"/>
    <w:rsid w:val="002B60B5"/>
    <w:rsid w:val="002B7D06"/>
    <w:rsid w:val="002C38A8"/>
    <w:rsid w:val="002C6EC6"/>
    <w:rsid w:val="002D040D"/>
    <w:rsid w:val="002D09D1"/>
    <w:rsid w:val="002D1282"/>
    <w:rsid w:val="002D49D7"/>
    <w:rsid w:val="002D4D4C"/>
    <w:rsid w:val="002F4F07"/>
    <w:rsid w:val="002F5598"/>
    <w:rsid w:val="002F55D5"/>
    <w:rsid w:val="002F666C"/>
    <w:rsid w:val="00300488"/>
    <w:rsid w:val="003063EC"/>
    <w:rsid w:val="00307DA4"/>
    <w:rsid w:val="00317046"/>
    <w:rsid w:val="0032086D"/>
    <w:rsid w:val="00321041"/>
    <w:rsid w:val="00323949"/>
    <w:rsid w:val="00332937"/>
    <w:rsid w:val="00335CFB"/>
    <w:rsid w:val="00337AC6"/>
    <w:rsid w:val="00340485"/>
    <w:rsid w:val="003404F6"/>
    <w:rsid w:val="00340A27"/>
    <w:rsid w:val="00346EC9"/>
    <w:rsid w:val="003529DC"/>
    <w:rsid w:val="00360C18"/>
    <w:rsid w:val="00361E7C"/>
    <w:rsid w:val="00363E43"/>
    <w:rsid w:val="00372156"/>
    <w:rsid w:val="0037288C"/>
    <w:rsid w:val="0037551B"/>
    <w:rsid w:val="003759E0"/>
    <w:rsid w:val="003761F6"/>
    <w:rsid w:val="00376C5A"/>
    <w:rsid w:val="0039226B"/>
    <w:rsid w:val="003A0C46"/>
    <w:rsid w:val="003A1B5A"/>
    <w:rsid w:val="003A2136"/>
    <w:rsid w:val="003A4D2A"/>
    <w:rsid w:val="003B0DB0"/>
    <w:rsid w:val="003B12CB"/>
    <w:rsid w:val="003B4E3E"/>
    <w:rsid w:val="003B6790"/>
    <w:rsid w:val="003D1C7A"/>
    <w:rsid w:val="003D4DA4"/>
    <w:rsid w:val="003E218D"/>
    <w:rsid w:val="003E2F26"/>
    <w:rsid w:val="003E586F"/>
    <w:rsid w:val="003E6B77"/>
    <w:rsid w:val="00401464"/>
    <w:rsid w:val="00402E60"/>
    <w:rsid w:val="0040351A"/>
    <w:rsid w:val="00412D95"/>
    <w:rsid w:val="004277D6"/>
    <w:rsid w:val="00450140"/>
    <w:rsid w:val="00450A05"/>
    <w:rsid w:val="0045211A"/>
    <w:rsid w:val="00455667"/>
    <w:rsid w:val="004647A8"/>
    <w:rsid w:val="00465E71"/>
    <w:rsid w:val="00471801"/>
    <w:rsid w:val="00490A7E"/>
    <w:rsid w:val="00494CE9"/>
    <w:rsid w:val="004A08BF"/>
    <w:rsid w:val="004A3163"/>
    <w:rsid w:val="004A3D17"/>
    <w:rsid w:val="004A5010"/>
    <w:rsid w:val="004A5960"/>
    <w:rsid w:val="004B1235"/>
    <w:rsid w:val="004B1DF7"/>
    <w:rsid w:val="004B37C9"/>
    <w:rsid w:val="004B64E0"/>
    <w:rsid w:val="004B65ED"/>
    <w:rsid w:val="004C7924"/>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72992"/>
    <w:rsid w:val="0057502E"/>
    <w:rsid w:val="005758D7"/>
    <w:rsid w:val="0057765F"/>
    <w:rsid w:val="0058132F"/>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65014"/>
    <w:rsid w:val="00667F13"/>
    <w:rsid w:val="006719C2"/>
    <w:rsid w:val="006754B5"/>
    <w:rsid w:val="00675939"/>
    <w:rsid w:val="00681DA7"/>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81C05"/>
    <w:rsid w:val="00786E83"/>
    <w:rsid w:val="0079179D"/>
    <w:rsid w:val="00791E8A"/>
    <w:rsid w:val="007B1411"/>
    <w:rsid w:val="007B1D42"/>
    <w:rsid w:val="007B40DF"/>
    <w:rsid w:val="007B41C6"/>
    <w:rsid w:val="007C4B11"/>
    <w:rsid w:val="007D40BC"/>
    <w:rsid w:val="007E171A"/>
    <w:rsid w:val="007E3CC1"/>
    <w:rsid w:val="007F0BC2"/>
    <w:rsid w:val="007F4362"/>
    <w:rsid w:val="007F5B25"/>
    <w:rsid w:val="007F6455"/>
    <w:rsid w:val="00801775"/>
    <w:rsid w:val="0081184D"/>
    <w:rsid w:val="00831387"/>
    <w:rsid w:val="0083184D"/>
    <w:rsid w:val="00836FCF"/>
    <w:rsid w:val="008375D6"/>
    <w:rsid w:val="008520F2"/>
    <w:rsid w:val="008579A5"/>
    <w:rsid w:val="008701EA"/>
    <w:rsid w:val="00871B3B"/>
    <w:rsid w:val="00883608"/>
    <w:rsid w:val="00883FF9"/>
    <w:rsid w:val="00886C06"/>
    <w:rsid w:val="008902C6"/>
    <w:rsid w:val="008924BE"/>
    <w:rsid w:val="00895F96"/>
    <w:rsid w:val="00896F9D"/>
    <w:rsid w:val="008A315C"/>
    <w:rsid w:val="008B01BF"/>
    <w:rsid w:val="008D5490"/>
    <w:rsid w:val="008E3421"/>
    <w:rsid w:val="008E3D00"/>
    <w:rsid w:val="008E556A"/>
    <w:rsid w:val="008F06EE"/>
    <w:rsid w:val="008F52FA"/>
    <w:rsid w:val="009000CD"/>
    <w:rsid w:val="00901647"/>
    <w:rsid w:val="00902A0E"/>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727BB"/>
    <w:rsid w:val="009736F3"/>
    <w:rsid w:val="0098338D"/>
    <w:rsid w:val="0098400C"/>
    <w:rsid w:val="0098789C"/>
    <w:rsid w:val="00992D83"/>
    <w:rsid w:val="00993622"/>
    <w:rsid w:val="00994163"/>
    <w:rsid w:val="009A668C"/>
    <w:rsid w:val="009B0D1B"/>
    <w:rsid w:val="009B2CA9"/>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D6D43"/>
    <w:rsid w:val="00AD717C"/>
    <w:rsid w:val="00AD7A82"/>
    <w:rsid w:val="00AE4241"/>
    <w:rsid w:val="00AE4464"/>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74D62"/>
    <w:rsid w:val="00B85DB9"/>
    <w:rsid w:val="00B94B50"/>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43129"/>
    <w:rsid w:val="00C574CB"/>
    <w:rsid w:val="00C63D4A"/>
    <w:rsid w:val="00C642EC"/>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76A7"/>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50179"/>
    <w:rsid w:val="00E5484D"/>
    <w:rsid w:val="00E5524C"/>
    <w:rsid w:val="00E557D2"/>
    <w:rsid w:val="00E56639"/>
    <w:rsid w:val="00E63102"/>
    <w:rsid w:val="00E64900"/>
    <w:rsid w:val="00E649EE"/>
    <w:rsid w:val="00E65033"/>
    <w:rsid w:val="00E7267D"/>
    <w:rsid w:val="00E740BF"/>
    <w:rsid w:val="00E81280"/>
    <w:rsid w:val="00E87AB7"/>
    <w:rsid w:val="00E92404"/>
    <w:rsid w:val="00E97069"/>
    <w:rsid w:val="00EA2384"/>
    <w:rsid w:val="00EB005C"/>
    <w:rsid w:val="00EB33BF"/>
    <w:rsid w:val="00EC4245"/>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dane.gov.co/files/investigaciones/boletines/ipc/cp_ipc_oct22.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victorsanchez/Downloads/fosfato-diamonico-6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'fosfato-diamonico-60'!$B$2</c:f>
              <c:strCache>
                <c:ptCount val="1"/>
                <c:pt idx="0">
                  <c:v>DAP</c:v>
                </c:pt>
              </c:strCache>
            </c:strRef>
          </c:tx>
          <c:spPr>
            <a:ln w="22225" cap="rnd" cmpd="sng" algn="ctr">
              <a:solidFill>
                <a:schemeClr val="accent1"/>
              </a:solidFill>
              <a:round/>
            </a:ln>
            <a:effectLst/>
          </c:spPr>
          <c:marker>
            <c:symbol val="none"/>
          </c:marker>
          <c:cat>
            <c:strRef>
              <c:f>'fosfato-diamonico-60'!$A$3:$A$61</c:f>
              <c:strCache>
                <c:ptCount val="59"/>
                <c:pt idx="0">
                  <c:v>nov. 2017</c:v>
                </c:pt>
                <c:pt idx="1">
                  <c:v>dic. 2017</c:v>
                </c:pt>
                <c:pt idx="2">
                  <c:v>ene. 2018</c:v>
                </c:pt>
                <c:pt idx="3">
                  <c:v>feb. 2018</c:v>
                </c:pt>
                <c:pt idx="4">
                  <c:v>mar. 2018</c:v>
                </c:pt>
                <c:pt idx="5">
                  <c:v>abr. 2018</c:v>
                </c:pt>
                <c:pt idx="6">
                  <c:v>may. 2018</c:v>
                </c:pt>
                <c:pt idx="7">
                  <c:v>jun. 2018</c:v>
                </c:pt>
                <c:pt idx="8">
                  <c:v>jul. 2018</c:v>
                </c:pt>
                <c:pt idx="9">
                  <c:v>ago. 2018</c:v>
                </c:pt>
                <c:pt idx="10">
                  <c:v>sep. 2018</c:v>
                </c:pt>
                <c:pt idx="11">
                  <c:v>oct. 2018</c:v>
                </c:pt>
                <c:pt idx="12">
                  <c:v>nov. 2018</c:v>
                </c:pt>
                <c:pt idx="13">
                  <c:v>dic. 2018</c:v>
                </c:pt>
                <c:pt idx="14">
                  <c:v>ene. 2019</c:v>
                </c:pt>
                <c:pt idx="15">
                  <c:v>feb. 2019</c:v>
                </c:pt>
                <c:pt idx="16">
                  <c:v>mar. 2019</c:v>
                </c:pt>
                <c:pt idx="17">
                  <c:v>abr. 2019</c:v>
                </c:pt>
                <c:pt idx="18">
                  <c:v>may. 2019</c:v>
                </c:pt>
                <c:pt idx="19">
                  <c:v>jun. 2019</c:v>
                </c:pt>
                <c:pt idx="20">
                  <c:v>jul. 2019</c:v>
                </c:pt>
                <c:pt idx="21">
                  <c:v>ago. 2019</c:v>
                </c:pt>
                <c:pt idx="22">
                  <c:v>sep. 2019</c:v>
                </c:pt>
                <c:pt idx="23">
                  <c:v>oct. 2019</c:v>
                </c:pt>
                <c:pt idx="24">
                  <c:v>nov. 2019</c:v>
                </c:pt>
                <c:pt idx="25">
                  <c:v>dic. 2019</c:v>
                </c:pt>
                <c:pt idx="26">
                  <c:v>ene. 2020</c:v>
                </c:pt>
                <c:pt idx="27">
                  <c:v>feb. 2020</c:v>
                </c:pt>
                <c:pt idx="28">
                  <c:v>mar. 2020</c:v>
                </c:pt>
                <c:pt idx="29">
                  <c:v>abr. 2020</c:v>
                </c:pt>
                <c:pt idx="30">
                  <c:v>may. 2020</c:v>
                </c:pt>
                <c:pt idx="31">
                  <c:v>jun. 2020</c:v>
                </c:pt>
                <c:pt idx="32">
                  <c:v>jul. 2020</c:v>
                </c:pt>
                <c:pt idx="33">
                  <c:v>ago. 2020</c:v>
                </c:pt>
                <c:pt idx="34">
                  <c:v>sep. 2020</c:v>
                </c:pt>
                <c:pt idx="35">
                  <c:v>oct. 2020</c:v>
                </c:pt>
                <c:pt idx="36">
                  <c:v>nov. 2020</c:v>
                </c:pt>
                <c:pt idx="37">
                  <c:v>dic. 2020</c:v>
                </c:pt>
                <c:pt idx="38">
                  <c:v>ene. 2021</c:v>
                </c:pt>
                <c:pt idx="39">
                  <c:v>feb. 2021</c:v>
                </c:pt>
                <c:pt idx="40">
                  <c:v>mar. 2021</c:v>
                </c:pt>
                <c:pt idx="41">
                  <c:v>abr. 2021</c:v>
                </c:pt>
                <c:pt idx="42">
                  <c:v>may. 2021</c:v>
                </c:pt>
                <c:pt idx="43">
                  <c:v>jun. 2021</c:v>
                </c:pt>
                <c:pt idx="44">
                  <c:v>jul. 2021</c:v>
                </c:pt>
                <c:pt idx="45">
                  <c:v>ago. 2021</c:v>
                </c:pt>
                <c:pt idx="46">
                  <c:v>sep. 2021</c:v>
                </c:pt>
                <c:pt idx="47">
                  <c:v>oct. 2021</c:v>
                </c:pt>
                <c:pt idx="48">
                  <c:v>nov. 2021</c:v>
                </c:pt>
                <c:pt idx="49">
                  <c:v>dic. 2021</c:v>
                </c:pt>
                <c:pt idx="50">
                  <c:v>ene. 2022</c:v>
                </c:pt>
                <c:pt idx="51">
                  <c:v>feb. 2022</c:v>
                </c:pt>
                <c:pt idx="52">
                  <c:v>mar. 2022</c:v>
                </c:pt>
                <c:pt idx="53">
                  <c:v>abr. 2022</c:v>
                </c:pt>
                <c:pt idx="54">
                  <c:v>may. 2022</c:v>
                </c:pt>
                <c:pt idx="55">
                  <c:v>jun. 2022</c:v>
                </c:pt>
                <c:pt idx="56">
                  <c:v>jul. 2022</c:v>
                </c:pt>
                <c:pt idx="57">
                  <c:v>ago. 2022</c:v>
                </c:pt>
                <c:pt idx="58">
                  <c:v>sep. 2022</c:v>
                </c:pt>
              </c:strCache>
            </c:strRef>
          </c:cat>
          <c:val>
            <c:numRef>
              <c:f>'fosfato-diamonico-60'!$B$3:$B$61</c:f>
              <c:numCache>
                <c:formatCode>General</c:formatCode>
                <c:ptCount val="59"/>
                <c:pt idx="0">
                  <c:v>344</c:v>
                </c:pt>
                <c:pt idx="1">
                  <c:v>357.25</c:v>
                </c:pt>
                <c:pt idx="2">
                  <c:v>360.38</c:v>
                </c:pt>
                <c:pt idx="3">
                  <c:v>370</c:v>
                </c:pt>
                <c:pt idx="4">
                  <c:v>378</c:v>
                </c:pt>
                <c:pt idx="5">
                  <c:v>384.75</c:v>
                </c:pt>
                <c:pt idx="6">
                  <c:v>384.38</c:v>
                </c:pt>
                <c:pt idx="7">
                  <c:v>391.6</c:v>
                </c:pt>
                <c:pt idx="8">
                  <c:v>400.75</c:v>
                </c:pt>
                <c:pt idx="9">
                  <c:v>409</c:v>
                </c:pt>
                <c:pt idx="10">
                  <c:v>421.63</c:v>
                </c:pt>
                <c:pt idx="11">
                  <c:v>420.75</c:v>
                </c:pt>
                <c:pt idx="12">
                  <c:v>410.2</c:v>
                </c:pt>
                <c:pt idx="13">
                  <c:v>389.67</c:v>
                </c:pt>
                <c:pt idx="14">
                  <c:v>382.13</c:v>
                </c:pt>
                <c:pt idx="15">
                  <c:v>357.38</c:v>
                </c:pt>
                <c:pt idx="16">
                  <c:v>335.03</c:v>
                </c:pt>
                <c:pt idx="17">
                  <c:v>323.75</c:v>
                </c:pt>
                <c:pt idx="18">
                  <c:v>313.39999999999998</c:v>
                </c:pt>
                <c:pt idx="19">
                  <c:v>314.88</c:v>
                </c:pt>
                <c:pt idx="20">
                  <c:v>307.5</c:v>
                </c:pt>
                <c:pt idx="21">
                  <c:v>292.89999999999998</c:v>
                </c:pt>
                <c:pt idx="22">
                  <c:v>285.75</c:v>
                </c:pt>
                <c:pt idx="23">
                  <c:v>277.38</c:v>
                </c:pt>
                <c:pt idx="24">
                  <c:v>248</c:v>
                </c:pt>
                <c:pt idx="25">
                  <c:v>238.16</c:v>
                </c:pt>
                <c:pt idx="26">
                  <c:v>264.89999999999998</c:v>
                </c:pt>
                <c:pt idx="27">
                  <c:v>279.38</c:v>
                </c:pt>
                <c:pt idx="28">
                  <c:v>276.22000000000003</c:v>
                </c:pt>
                <c:pt idx="29">
                  <c:v>282</c:v>
                </c:pt>
                <c:pt idx="30">
                  <c:v>263</c:v>
                </c:pt>
                <c:pt idx="31">
                  <c:v>273</c:v>
                </c:pt>
                <c:pt idx="32">
                  <c:v>305.10000000000002</c:v>
                </c:pt>
                <c:pt idx="33">
                  <c:v>341.88</c:v>
                </c:pt>
                <c:pt idx="34">
                  <c:v>358.38</c:v>
                </c:pt>
                <c:pt idx="35">
                  <c:v>357.1</c:v>
                </c:pt>
                <c:pt idx="36">
                  <c:v>359.63</c:v>
                </c:pt>
                <c:pt idx="37">
                  <c:v>388.5</c:v>
                </c:pt>
                <c:pt idx="38">
                  <c:v>421.3</c:v>
                </c:pt>
                <c:pt idx="39">
                  <c:v>528.88</c:v>
                </c:pt>
                <c:pt idx="40">
                  <c:v>534.13</c:v>
                </c:pt>
                <c:pt idx="41">
                  <c:v>543.4</c:v>
                </c:pt>
                <c:pt idx="42">
                  <c:v>574.63</c:v>
                </c:pt>
                <c:pt idx="43">
                  <c:v>604.75</c:v>
                </c:pt>
                <c:pt idx="44">
                  <c:v>613</c:v>
                </c:pt>
                <c:pt idx="45">
                  <c:v>603.13</c:v>
                </c:pt>
                <c:pt idx="46">
                  <c:v>643.75</c:v>
                </c:pt>
                <c:pt idx="47">
                  <c:v>672.9</c:v>
                </c:pt>
                <c:pt idx="48">
                  <c:v>726.69</c:v>
                </c:pt>
                <c:pt idx="49">
                  <c:v>745</c:v>
                </c:pt>
                <c:pt idx="50">
                  <c:v>699.38</c:v>
                </c:pt>
                <c:pt idx="51">
                  <c:v>747.13</c:v>
                </c:pt>
                <c:pt idx="52">
                  <c:v>938.13</c:v>
                </c:pt>
                <c:pt idx="53">
                  <c:v>954</c:v>
                </c:pt>
                <c:pt idx="54">
                  <c:v>842.5</c:v>
                </c:pt>
                <c:pt idx="55">
                  <c:v>783.75</c:v>
                </c:pt>
                <c:pt idx="56">
                  <c:v>784</c:v>
                </c:pt>
                <c:pt idx="57">
                  <c:v>749.38</c:v>
                </c:pt>
                <c:pt idx="58">
                  <c:v>752</c:v>
                </c:pt>
              </c:numCache>
            </c:numRef>
          </c:val>
          <c:smooth val="0"/>
          <c:extLst>
            <c:ext xmlns:c16="http://schemas.microsoft.com/office/drawing/2014/chart" uri="{C3380CC4-5D6E-409C-BE32-E72D297353CC}">
              <c16:uniqueId val="{00000000-F561-9242-B515-C0FBA75A4792}"/>
            </c:ext>
          </c:extLst>
        </c:ser>
        <c:ser>
          <c:idx val="1"/>
          <c:order val="1"/>
          <c:tx>
            <c:strRef>
              <c:f>'fosfato-diamonico-60'!$C$2</c:f>
              <c:strCache>
                <c:ptCount val="1"/>
                <c:pt idx="0">
                  <c:v>KCL</c:v>
                </c:pt>
              </c:strCache>
            </c:strRef>
          </c:tx>
          <c:spPr>
            <a:ln w="22225" cap="rnd" cmpd="sng" algn="ctr">
              <a:solidFill>
                <a:schemeClr val="accent2"/>
              </a:solidFill>
              <a:round/>
            </a:ln>
            <a:effectLst/>
          </c:spPr>
          <c:marker>
            <c:symbol val="none"/>
          </c:marker>
          <c:cat>
            <c:strRef>
              <c:f>'fosfato-diamonico-60'!$A$3:$A$61</c:f>
              <c:strCache>
                <c:ptCount val="59"/>
                <c:pt idx="0">
                  <c:v>nov. 2017</c:v>
                </c:pt>
                <c:pt idx="1">
                  <c:v>dic. 2017</c:v>
                </c:pt>
                <c:pt idx="2">
                  <c:v>ene. 2018</c:v>
                </c:pt>
                <c:pt idx="3">
                  <c:v>feb. 2018</c:v>
                </c:pt>
                <c:pt idx="4">
                  <c:v>mar. 2018</c:v>
                </c:pt>
                <c:pt idx="5">
                  <c:v>abr. 2018</c:v>
                </c:pt>
                <c:pt idx="6">
                  <c:v>may. 2018</c:v>
                </c:pt>
                <c:pt idx="7">
                  <c:v>jun. 2018</c:v>
                </c:pt>
                <c:pt idx="8">
                  <c:v>jul. 2018</c:v>
                </c:pt>
                <c:pt idx="9">
                  <c:v>ago. 2018</c:v>
                </c:pt>
                <c:pt idx="10">
                  <c:v>sep. 2018</c:v>
                </c:pt>
                <c:pt idx="11">
                  <c:v>oct. 2018</c:v>
                </c:pt>
                <c:pt idx="12">
                  <c:v>nov. 2018</c:v>
                </c:pt>
                <c:pt idx="13">
                  <c:v>dic. 2018</c:v>
                </c:pt>
                <c:pt idx="14">
                  <c:v>ene. 2019</c:v>
                </c:pt>
                <c:pt idx="15">
                  <c:v>feb. 2019</c:v>
                </c:pt>
                <c:pt idx="16">
                  <c:v>mar. 2019</c:v>
                </c:pt>
                <c:pt idx="17">
                  <c:v>abr. 2019</c:v>
                </c:pt>
                <c:pt idx="18">
                  <c:v>may. 2019</c:v>
                </c:pt>
                <c:pt idx="19">
                  <c:v>jun. 2019</c:v>
                </c:pt>
                <c:pt idx="20">
                  <c:v>jul. 2019</c:v>
                </c:pt>
                <c:pt idx="21">
                  <c:v>ago. 2019</c:v>
                </c:pt>
                <c:pt idx="22">
                  <c:v>sep. 2019</c:v>
                </c:pt>
                <c:pt idx="23">
                  <c:v>oct. 2019</c:v>
                </c:pt>
                <c:pt idx="24">
                  <c:v>nov. 2019</c:v>
                </c:pt>
                <c:pt idx="25">
                  <c:v>dic. 2019</c:v>
                </c:pt>
                <c:pt idx="26">
                  <c:v>ene. 2020</c:v>
                </c:pt>
                <c:pt idx="27">
                  <c:v>feb. 2020</c:v>
                </c:pt>
                <c:pt idx="28">
                  <c:v>mar. 2020</c:v>
                </c:pt>
                <c:pt idx="29">
                  <c:v>abr. 2020</c:v>
                </c:pt>
                <c:pt idx="30">
                  <c:v>may. 2020</c:v>
                </c:pt>
                <c:pt idx="31">
                  <c:v>jun. 2020</c:v>
                </c:pt>
                <c:pt idx="32">
                  <c:v>jul. 2020</c:v>
                </c:pt>
                <c:pt idx="33">
                  <c:v>ago. 2020</c:v>
                </c:pt>
                <c:pt idx="34">
                  <c:v>sep. 2020</c:v>
                </c:pt>
                <c:pt idx="35">
                  <c:v>oct. 2020</c:v>
                </c:pt>
                <c:pt idx="36">
                  <c:v>nov. 2020</c:v>
                </c:pt>
                <c:pt idx="37">
                  <c:v>dic. 2020</c:v>
                </c:pt>
                <c:pt idx="38">
                  <c:v>ene. 2021</c:v>
                </c:pt>
                <c:pt idx="39">
                  <c:v>feb. 2021</c:v>
                </c:pt>
                <c:pt idx="40">
                  <c:v>mar. 2021</c:v>
                </c:pt>
                <c:pt idx="41">
                  <c:v>abr. 2021</c:v>
                </c:pt>
                <c:pt idx="42">
                  <c:v>may. 2021</c:v>
                </c:pt>
                <c:pt idx="43">
                  <c:v>jun. 2021</c:v>
                </c:pt>
                <c:pt idx="44">
                  <c:v>jul. 2021</c:v>
                </c:pt>
                <c:pt idx="45">
                  <c:v>ago. 2021</c:v>
                </c:pt>
                <c:pt idx="46">
                  <c:v>sep. 2021</c:v>
                </c:pt>
                <c:pt idx="47">
                  <c:v>oct. 2021</c:v>
                </c:pt>
                <c:pt idx="48">
                  <c:v>nov. 2021</c:v>
                </c:pt>
                <c:pt idx="49">
                  <c:v>dic. 2021</c:v>
                </c:pt>
                <c:pt idx="50">
                  <c:v>ene. 2022</c:v>
                </c:pt>
                <c:pt idx="51">
                  <c:v>feb. 2022</c:v>
                </c:pt>
                <c:pt idx="52">
                  <c:v>mar. 2022</c:v>
                </c:pt>
                <c:pt idx="53">
                  <c:v>abr. 2022</c:v>
                </c:pt>
                <c:pt idx="54">
                  <c:v>may. 2022</c:v>
                </c:pt>
                <c:pt idx="55">
                  <c:v>jun. 2022</c:v>
                </c:pt>
                <c:pt idx="56">
                  <c:v>jul. 2022</c:v>
                </c:pt>
                <c:pt idx="57">
                  <c:v>ago. 2022</c:v>
                </c:pt>
                <c:pt idx="58">
                  <c:v>sep. 2022</c:v>
                </c:pt>
              </c:strCache>
            </c:strRef>
          </c:cat>
          <c:val>
            <c:numRef>
              <c:f>'fosfato-diamonico-60'!$C$3:$C$61</c:f>
              <c:numCache>
                <c:formatCode>General</c:formatCode>
                <c:ptCount val="59"/>
                <c:pt idx="0">
                  <c:v>215.5</c:v>
                </c:pt>
                <c:pt idx="1">
                  <c:v>215.5</c:v>
                </c:pt>
                <c:pt idx="2">
                  <c:v>215.5</c:v>
                </c:pt>
                <c:pt idx="3">
                  <c:v>215.5</c:v>
                </c:pt>
                <c:pt idx="4">
                  <c:v>215.5</c:v>
                </c:pt>
                <c:pt idx="5">
                  <c:v>215.5</c:v>
                </c:pt>
                <c:pt idx="6">
                  <c:v>215.5</c:v>
                </c:pt>
                <c:pt idx="7">
                  <c:v>215.5</c:v>
                </c:pt>
                <c:pt idx="8">
                  <c:v>215.5</c:v>
                </c:pt>
                <c:pt idx="9">
                  <c:v>215.5</c:v>
                </c:pt>
                <c:pt idx="10">
                  <c:v>215.5</c:v>
                </c:pt>
                <c:pt idx="11">
                  <c:v>215.5</c:v>
                </c:pt>
                <c:pt idx="12">
                  <c:v>215.5</c:v>
                </c:pt>
                <c:pt idx="13">
                  <c:v>215.5</c:v>
                </c:pt>
                <c:pt idx="14">
                  <c:v>215.5</c:v>
                </c:pt>
                <c:pt idx="15">
                  <c:v>215.5</c:v>
                </c:pt>
                <c:pt idx="16">
                  <c:v>245.5</c:v>
                </c:pt>
                <c:pt idx="17">
                  <c:v>265.5</c:v>
                </c:pt>
                <c:pt idx="18">
                  <c:v>265.5</c:v>
                </c:pt>
                <c:pt idx="19">
                  <c:v>265.5</c:v>
                </c:pt>
                <c:pt idx="20">
                  <c:v>265.5</c:v>
                </c:pt>
                <c:pt idx="21">
                  <c:v>265.5</c:v>
                </c:pt>
                <c:pt idx="22">
                  <c:v>265.5</c:v>
                </c:pt>
                <c:pt idx="23">
                  <c:v>265.5</c:v>
                </c:pt>
                <c:pt idx="24">
                  <c:v>265.5</c:v>
                </c:pt>
                <c:pt idx="25">
                  <c:v>265.5</c:v>
                </c:pt>
                <c:pt idx="26">
                  <c:v>245</c:v>
                </c:pt>
                <c:pt idx="27">
                  <c:v>245</c:v>
                </c:pt>
                <c:pt idx="28">
                  <c:v>245</c:v>
                </c:pt>
                <c:pt idx="29">
                  <c:v>245</c:v>
                </c:pt>
                <c:pt idx="30">
                  <c:v>216</c:v>
                </c:pt>
                <c:pt idx="31">
                  <c:v>202.5</c:v>
                </c:pt>
                <c:pt idx="32">
                  <c:v>202.5</c:v>
                </c:pt>
                <c:pt idx="33">
                  <c:v>202.5</c:v>
                </c:pt>
                <c:pt idx="34">
                  <c:v>202.5</c:v>
                </c:pt>
                <c:pt idx="35">
                  <c:v>202.5</c:v>
                </c:pt>
                <c:pt idx="36">
                  <c:v>202.5</c:v>
                </c:pt>
                <c:pt idx="37">
                  <c:v>202.5</c:v>
                </c:pt>
                <c:pt idx="38">
                  <c:v>202.5</c:v>
                </c:pt>
                <c:pt idx="39">
                  <c:v>202.5</c:v>
                </c:pt>
                <c:pt idx="40">
                  <c:v>202.5</c:v>
                </c:pt>
                <c:pt idx="41">
                  <c:v>202.5</c:v>
                </c:pt>
                <c:pt idx="42">
                  <c:v>202.5</c:v>
                </c:pt>
                <c:pt idx="43">
                  <c:v>202.5</c:v>
                </c:pt>
                <c:pt idx="44">
                  <c:v>202.5</c:v>
                </c:pt>
                <c:pt idx="45">
                  <c:v>221</c:v>
                </c:pt>
                <c:pt idx="46">
                  <c:v>221</c:v>
                </c:pt>
                <c:pt idx="47">
                  <c:v>221</c:v>
                </c:pt>
                <c:pt idx="48">
                  <c:v>221</c:v>
                </c:pt>
                <c:pt idx="49">
                  <c:v>221</c:v>
                </c:pt>
                <c:pt idx="50">
                  <c:v>221</c:v>
                </c:pt>
                <c:pt idx="51">
                  <c:v>391.75</c:v>
                </c:pt>
                <c:pt idx="52">
                  <c:v>562.5</c:v>
                </c:pt>
                <c:pt idx="53">
                  <c:v>562.5</c:v>
                </c:pt>
                <c:pt idx="54">
                  <c:v>562.5</c:v>
                </c:pt>
                <c:pt idx="55">
                  <c:v>562.5</c:v>
                </c:pt>
                <c:pt idx="56">
                  <c:v>562.5</c:v>
                </c:pt>
                <c:pt idx="57">
                  <c:v>562.5</c:v>
                </c:pt>
                <c:pt idx="58">
                  <c:v>562.5</c:v>
                </c:pt>
              </c:numCache>
            </c:numRef>
          </c:val>
          <c:smooth val="0"/>
          <c:extLst>
            <c:ext xmlns:c16="http://schemas.microsoft.com/office/drawing/2014/chart" uri="{C3380CC4-5D6E-409C-BE32-E72D297353CC}">
              <c16:uniqueId val="{00000001-F561-9242-B515-C0FBA75A4792}"/>
            </c:ext>
          </c:extLst>
        </c:ser>
        <c:ser>
          <c:idx val="2"/>
          <c:order val="2"/>
          <c:tx>
            <c:strRef>
              <c:f>'fosfato-diamonico-60'!$D$2</c:f>
              <c:strCache>
                <c:ptCount val="1"/>
                <c:pt idx="0">
                  <c:v>UREA</c:v>
                </c:pt>
              </c:strCache>
            </c:strRef>
          </c:tx>
          <c:spPr>
            <a:ln w="22225" cap="rnd" cmpd="sng" algn="ctr">
              <a:solidFill>
                <a:schemeClr val="accent3"/>
              </a:solidFill>
              <a:round/>
            </a:ln>
            <a:effectLst/>
          </c:spPr>
          <c:marker>
            <c:symbol val="none"/>
          </c:marker>
          <c:cat>
            <c:strRef>
              <c:f>'fosfato-diamonico-60'!$A$3:$A$61</c:f>
              <c:strCache>
                <c:ptCount val="59"/>
                <c:pt idx="0">
                  <c:v>nov. 2017</c:v>
                </c:pt>
                <c:pt idx="1">
                  <c:v>dic. 2017</c:v>
                </c:pt>
                <c:pt idx="2">
                  <c:v>ene. 2018</c:v>
                </c:pt>
                <c:pt idx="3">
                  <c:v>feb. 2018</c:v>
                </c:pt>
                <c:pt idx="4">
                  <c:v>mar. 2018</c:v>
                </c:pt>
                <c:pt idx="5">
                  <c:v>abr. 2018</c:v>
                </c:pt>
                <c:pt idx="6">
                  <c:v>may. 2018</c:v>
                </c:pt>
                <c:pt idx="7">
                  <c:v>jun. 2018</c:v>
                </c:pt>
                <c:pt idx="8">
                  <c:v>jul. 2018</c:v>
                </c:pt>
                <c:pt idx="9">
                  <c:v>ago. 2018</c:v>
                </c:pt>
                <c:pt idx="10">
                  <c:v>sep. 2018</c:v>
                </c:pt>
                <c:pt idx="11">
                  <c:v>oct. 2018</c:v>
                </c:pt>
                <c:pt idx="12">
                  <c:v>nov. 2018</c:v>
                </c:pt>
                <c:pt idx="13">
                  <c:v>dic. 2018</c:v>
                </c:pt>
                <c:pt idx="14">
                  <c:v>ene. 2019</c:v>
                </c:pt>
                <c:pt idx="15">
                  <c:v>feb. 2019</c:v>
                </c:pt>
                <c:pt idx="16">
                  <c:v>mar. 2019</c:v>
                </c:pt>
                <c:pt idx="17">
                  <c:v>abr. 2019</c:v>
                </c:pt>
                <c:pt idx="18">
                  <c:v>may. 2019</c:v>
                </c:pt>
                <c:pt idx="19">
                  <c:v>jun. 2019</c:v>
                </c:pt>
                <c:pt idx="20">
                  <c:v>jul. 2019</c:v>
                </c:pt>
                <c:pt idx="21">
                  <c:v>ago. 2019</c:v>
                </c:pt>
                <c:pt idx="22">
                  <c:v>sep. 2019</c:v>
                </c:pt>
                <c:pt idx="23">
                  <c:v>oct. 2019</c:v>
                </c:pt>
                <c:pt idx="24">
                  <c:v>nov. 2019</c:v>
                </c:pt>
                <c:pt idx="25">
                  <c:v>dic. 2019</c:v>
                </c:pt>
                <c:pt idx="26">
                  <c:v>ene. 2020</c:v>
                </c:pt>
                <c:pt idx="27">
                  <c:v>feb. 2020</c:v>
                </c:pt>
                <c:pt idx="28">
                  <c:v>mar. 2020</c:v>
                </c:pt>
                <c:pt idx="29">
                  <c:v>abr. 2020</c:v>
                </c:pt>
                <c:pt idx="30">
                  <c:v>may. 2020</c:v>
                </c:pt>
                <c:pt idx="31">
                  <c:v>jun. 2020</c:v>
                </c:pt>
                <c:pt idx="32">
                  <c:v>jul. 2020</c:v>
                </c:pt>
                <c:pt idx="33">
                  <c:v>ago. 2020</c:v>
                </c:pt>
                <c:pt idx="34">
                  <c:v>sep. 2020</c:v>
                </c:pt>
                <c:pt idx="35">
                  <c:v>oct. 2020</c:v>
                </c:pt>
                <c:pt idx="36">
                  <c:v>nov. 2020</c:v>
                </c:pt>
                <c:pt idx="37">
                  <c:v>dic. 2020</c:v>
                </c:pt>
                <c:pt idx="38">
                  <c:v>ene. 2021</c:v>
                </c:pt>
                <c:pt idx="39">
                  <c:v>feb. 2021</c:v>
                </c:pt>
                <c:pt idx="40">
                  <c:v>mar. 2021</c:v>
                </c:pt>
                <c:pt idx="41">
                  <c:v>abr. 2021</c:v>
                </c:pt>
                <c:pt idx="42">
                  <c:v>may. 2021</c:v>
                </c:pt>
                <c:pt idx="43">
                  <c:v>jun. 2021</c:v>
                </c:pt>
                <c:pt idx="44">
                  <c:v>jul. 2021</c:v>
                </c:pt>
                <c:pt idx="45">
                  <c:v>ago. 2021</c:v>
                </c:pt>
                <c:pt idx="46">
                  <c:v>sep. 2021</c:v>
                </c:pt>
                <c:pt idx="47">
                  <c:v>oct. 2021</c:v>
                </c:pt>
                <c:pt idx="48">
                  <c:v>nov. 2021</c:v>
                </c:pt>
                <c:pt idx="49">
                  <c:v>dic. 2021</c:v>
                </c:pt>
                <c:pt idx="50">
                  <c:v>ene. 2022</c:v>
                </c:pt>
                <c:pt idx="51">
                  <c:v>feb. 2022</c:v>
                </c:pt>
                <c:pt idx="52">
                  <c:v>mar. 2022</c:v>
                </c:pt>
                <c:pt idx="53">
                  <c:v>abr. 2022</c:v>
                </c:pt>
                <c:pt idx="54">
                  <c:v>may. 2022</c:v>
                </c:pt>
                <c:pt idx="55">
                  <c:v>jun. 2022</c:v>
                </c:pt>
                <c:pt idx="56">
                  <c:v>jul. 2022</c:v>
                </c:pt>
                <c:pt idx="57">
                  <c:v>ago. 2022</c:v>
                </c:pt>
                <c:pt idx="58">
                  <c:v>sep. 2022</c:v>
                </c:pt>
              </c:strCache>
            </c:strRef>
          </c:cat>
          <c:val>
            <c:numRef>
              <c:f>'fosfato-diamonico-60'!$D$3:$D$61</c:f>
              <c:numCache>
                <c:formatCode>General</c:formatCode>
                <c:ptCount val="59"/>
                <c:pt idx="0">
                  <c:v>280</c:v>
                </c:pt>
                <c:pt idx="1">
                  <c:v>214.63</c:v>
                </c:pt>
                <c:pt idx="2">
                  <c:v>219.63</c:v>
                </c:pt>
                <c:pt idx="3">
                  <c:v>232.5</c:v>
                </c:pt>
                <c:pt idx="4">
                  <c:v>232.5</c:v>
                </c:pt>
                <c:pt idx="5">
                  <c:v>230.63</c:v>
                </c:pt>
                <c:pt idx="6">
                  <c:v>221.88</c:v>
                </c:pt>
                <c:pt idx="7">
                  <c:v>224</c:v>
                </c:pt>
                <c:pt idx="8">
                  <c:v>252.5</c:v>
                </c:pt>
                <c:pt idx="9">
                  <c:v>260</c:v>
                </c:pt>
                <c:pt idx="10">
                  <c:v>267.5</c:v>
                </c:pt>
                <c:pt idx="11">
                  <c:v>270</c:v>
                </c:pt>
                <c:pt idx="12">
                  <c:v>305.60000000000002</c:v>
                </c:pt>
                <c:pt idx="13">
                  <c:v>276.67</c:v>
                </c:pt>
                <c:pt idx="14">
                  <c:v>260</c:v>
                </c:pt>
                <c:pt idx="15">
                  <c:v>250.63</c:v>
                </c:pt>
                <c:pt idx="16">
                  <c:v>247.5</c:v>
                </c:pt>
                <c:pt idx="17">
                  <c:v>247.5</c:v>
                </c:pt>
                <c:pt idx="18">
                  <c:v>247.5</c:v>
                </c:pt>
                <c:pt idx="19">
                  <c:v>247.5</c:v>
                </c:pt>
                <c:pt idx="20">
                  <c:v>263.5</c:v>
                </c:pt>
                <c:pt idx="21">
                  <c:v>262.5</c:v>
                </c:pt>
                <c:pt idx="22">
                  <c:v>237.75</c:v>
                </c:pt>
                <c:pt idx="23">
                  <c:v>237</c:v>
                </c:pt>
                <c:pt idx="24">
                  <c:v>224.5</c:v>
                </c:pt>
                <c:pt idx="25">
                  <c:v>217.5</c:v>
                </c:pt>
                <c:pt idx="26">
                  <c:v>215.4</c:v>
                </c:pt>
                <c:pt idx="27">
                  <c:v>214.38</c:v>
                </c:pt>
                <c:pt idx="28">
                  <c:v>231.13</c:v>
                </c:pt>
                <c:pt idx="29">
                  <c:v>235</c:v>
                </c:pt>
                <c:pt idx="30">
                  <c:v>201.9</c:v>
                </c:pt>
                <c:pt idx="31">
                  <c:v>202</c:v>
                </c:pt>
                <c:pt idx="32">
                  <c:v>214.4</c:v>
                </c:pt>
                <c:pt idx="33">
                  <c:v>249.5</c:v>
                </c:pt>
                <c:pt idx="34">
                  <c:v>250.5</c:v>
                </c:pt>
                <c:pt idx="35">
                  <c:v>245</c:v>
                </c:pt>
                <c:pt idx="36">
                  <c:v>245</c:v>
                </c:pt>
                <c:pt idx="37">
                  <c:v>245</c:v>
                </c:pt>
                <c:pt idx="38">
                  <c:v>265</c:v>
                </c:pt>
                <c:pt idx="39">
                  <c:v>335</c:v>
                </c:pt>
                <c:pt idx="40">
                  <c:v>352.88</c:v>
                </c:pt>
                <c:pt idx="41">
                  <c:v>328.1</c:v>
                </c:pt>
                <c:pt idx="42">
                  <c:v>331.63</c:v>
                </c:pt>
                <c:pt idx="43">
                  <c:v>393.25</c:v>
                </c:pt>
                <c:pt idx="44">
                  <c:v>441.5</c:v>
                </c:pt>
                <c:pt idx="45">
                  <c:v>446.88</c:v>
                </c:pt>
                <c:pt idx="46">
                  <c:v>418.75</c:v>
                </c:pt>
                <c:pt idx="47">
                  <c:v>695</c:v>
                </c:pt>
                <c:pt idx="48">
                  <c:v>900.5</c:v>
                </c:pt>
                <c:pt idx="49">
                  <c:v>890</c:v>
                </c:pt>
                <c:pt idx="50">
                  <c:v>846.38</c:v>
                </c:pt>
                <c:pt idx="51">
                  <c:v>744.17</c:v>
                </c:pt>
                <c:pt idx="52">
                  <c:v>872.5</c:v>
                </c:pt>
                <c:pt idx="53">
                  <c:v>925</c:v>
                </c:pt>
                <c:pt idx="54">
                  <c:v>707.5</c:v>
                </c:pt>
                <c:pt idx="55">
                  <c:v>690</c:v>
                </c:pt>
                <c:pt idx="56">
                  <c:v>601</c:v>
                </c:pt>
                <c:pt idx="57">
                  <c:v>591.25</c:v>
                </c:pt>
                <c:pt idx="58">
                  <c:v>678</c:v>
                </c:pt>
              </c:numCache>
            </c:numRef>
          </c:val>
          <c:smooth val="0"/>
          <c:extLst>
            <c:ext xmlns:c16="http://schemas.microsoft.com/office/drawing/2014/chart" uri="{C3380CC4-5D6E-409C-BE32-E72D297353CC}">
              <c16:uniqueId val="{00000002-F561-9242-B515-C0FBA75A479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89145823"/>
        <c:axId val="1312611087"/>
      </c:lineChart>
      <c:catAx>
        <c:axId val="1089145823"/>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1312611087"/>
        <c:crosses val="autoZero"/>
        <c:auto val="1"/>
        <c:lblAlgn val="ctr"/>
        <c:lblOffset val="100"/>
        <c:noMultiLvlLbl val="0"/>
      </c:catAx>
      <c:valAx>
        <c:axId val="131261108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_tradnl"/>
                  <a:t>Precio</a:t>
                </a:r>
                <a:r>
                  <a:rPr lang="es-ES_tradnl" baseline="0"/>
                  <a:t> ton/usd</a:t>
                </a:r>
                <a:endParaRPr lang="es-ES_tradnl"/>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1089145823"/>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O"/>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3037</Words>
  <Characters>16707</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2</cp:revision>
  <cp:lastPrinted>2022-12-13T11:20:00Z</cp:lastPrinted>
  <dcterms:created xsi:type="dcterms:W3CDTF">2023-02-08T20:42:00Z</dcterms:created>
  <dcterms:modified xsi:type="dcterms:W3CDTF">2023-02-08T20:42:00Z</dcterms:modified>
</cp:coreProperties>
</file>