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2549"/>
        <w:gridCol w:w="2844"/>
      </w:tblGrid>
      <w:tr>
        <w:trPr>
          <w:trHeight w:val="614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6382</w:t>
            </w:r>
          </w:p>
        </w:tc>
        <w:tc>
          <w:tcPr>
            <w:tcW w:w="25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u w:val="double"/>
                <w:lang w:val="ru-RU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ПРИЛОЖЕНИЯ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LibreOffice/6.0.7.3$Linux_X86_64 LibreOffice_project/00m0$Build-3</Application>
  <Pages>22</Pages>
  <Words>2130</Words>
  <Characters>12792</Characters>
  <CharactersWithSpaces>17242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2020-03-19T05:14:53Z</dcterms:modified>
  <cp:revision>7</cp:revision>
  <dc:subject/>
  <dc:title/>
</cp:coreProperties>
</file>