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8EE41" w14:textId="77777777" w:rsidR="007B52CE" w:rsidRDefault="00000000">
      <w:pPr>
        <w:pStyle w:val="Heading1"/>
      </w:pPr>
      <w:r>
        <w:rPr>
          <w:sz w:val="36"/>
        </w:rPr>
        <w:t>Unified Care Model (UCM) Design Principles</w:t>
      </w:r>
    </w:p>
    <w:p w14:paraId="1C891240" w14:textId="77777777" w:rsidR="007B52CE" w:rsidRDefault="00000000">
      <w:r>
        <w:rPr>
          <w:i/>
        </w:rPr>
        <w:t>Integrated Design Principles with Semantic Layering Enhancements</w:t>
      </w:r>
      <w:r>
        <w:rPr>
          <w:i/>
        </w:rPr>
        <w:br/>
        <w:t>Version aligned to ontology update dated 2026-05-11</w:t>
      </w:r>
    </w:p>
    <w:p w14:paraId="518DE489" w14:textId="77777777" w:rsidR="007B52CE" w:rsidRDefault="00000000">
      <w:pPr>
        <w:pStyle w:val="Heading2"/>
      </w:pPr>
      <w:r>
        <w:t>Purpose</w:t>
      </w:r>
    </w:p>
    <w:p w14:paraId="4B8539F4" w14:textId="77777777" w:rsidR="007B52CE" w:rsidRDefault="00000000">
      <w:r>
        <w:t>This revision integrates the existing UCM design principles with the new generalized semantic layering architecture. The updated model preserves ontological grounding in BFO, semantic organization through SULO, and interoperability mappings to external standards while introducing explicit separation of identity, intrinsic state, relationship, participation, responsibility, event, workflow, and temporal semantics.</w:t>
      </w:r>
    </w:p>
    <w:p w14:paraId="510D2BD8" w14:textId="77777777" w:rsidR="007B52CE" w:rsidRDefault="00000000">
      <w:pPr>
        <w:pStyle w:val="Heading2"/>
      </w:pPr>
      <w:r>
        <w:t>Layered Alignment Clarification</w:t>
      </w:r>
    </w:p>
    <w:p w14:paraId="0157CE05" w14:textId="77777777" w:rsidR="007B52CE" w:rsidRDefault="00000000">
      <w:pPr>
        <w:pStyle w:val="ListBullet"/>
      </w:pPr>
      <w:r>
        <w:rPr>
          <w:b/>
        </w:rPr>
        <w:t xml:space="preserve">BFO: </w:t>
      </w:r>
      <w:r>
        <w:t>Ontological grounding for physical entities, roles, processes, dispositions, and information entities.</w:t>
      </w:r>
    </w:p>
    <w:p w14:paraId="20875369" w14:textId="77777777" w:rsidR="007B52CE" w:rsidRDefault="00000000">
      <w:pPr>
        <w:pStyle w:val="ListBullet"/>
      </w:pPr>
      <w:r>
        <w:rPr>
          <w:b/>
        </w:rPr>
        <w:t xml:space="preserve">SULO: </w:t>
      </w:r>
      <w:r>
        <w:t>Semantic organization supporting reusable classification and operational semantic reuse.</w:t>
      </w:r>
    </w:p>
    <w:p w14:paraId="0297A277" w14:textId="77777777" w:rsidR="007B52CE" w:rsidRDefault="00000000">
      <w:pPr>
        <w:pStyle w:val="ListBullet"/>
      </w:pPr>
      <w:r>
        <w:rPr>
          <w:b/>
        </w:rPr>
        <w:t xml:space="preserve">External Models: </w:t>
      </w:r>
      <w:r>
        <w:t>FHIR, HL7, schema.org, HUD, and other external standards provide interoperability mappings rather than ontological equivalence.</w:t>
      </w:r>
    </w:p>
    <w:p w14:paraId="0E405A81" w14:textId="77777777" w:rsidR="007B52CE" w:rsidRDefault="00000000">
      <w:pPr>
        <w:pStyle w:val="Heading2"/>
      </w:pPr>
      <w:r>
        <w:t>Generalized Semantic Layering</w:t>
      </w:r>
    </w:p>
    <w:p w14:paraId="55DCC997" w14:textId="77777777" w:rsidR="007B52CE" w:rsidRDefault="00000000">
      <w:r>
        <w:t>The UCM now treats Person, Organization, Device, Location, Program, Service, Group, and other operational concepts as generalized entities. Semantic layers are orthogonal semantic dimensions applied across entities rather than person-specific subclasses.</w:t>
      </w:r>
    </w:p>
    <w:p w14:paraId="122E79F7" w14:textId="77777777" w:rsidR="007B52CE" w:rsidRDefault="00000000">
      <w:pPr>
        <w:pStyle w:val="ListBullet"/>
      </w:pPr>
      <w:r>
        <w:rPr>
          <w:b/>
        </w:rPr>
        <w:t xml:space="preserve">Identity Layer: </w:t>
      </w:r>
      <w:r>
        <w:t>Defines what an entity fundamentally is.</w:t>
      </w:r>
    </w:p>
    <w:p w14:paraId="1C09BB45" w14:textId="77777777" w:rsidR="007B52CE" w:rsidRDefault="00000000">
      <w:pPr>
        <w:pStyle w:val="ListBullet"/>
      </w:pPr>
      <w:r>
        <w:rPr>
          <w:b/>
        </w:rPr>
        <w:t xml:space="preserve">Intrinsic State Layer: </w:t>
      </w:r>
      <w:r>
        <w:t>Represents conditions, capabilities, or dispositions inhering in the entity.</w:t>
      </w:r>
    </w:p>
    <w:p w14:paraId="3C6204EF" w14:textId="77777777" w:rsidR="007B52CE" w:rsidRDefault="00000000">
      <w:pPr>
        <w:pStyle w:val="ListBullet"/>
      </w:pPr>
      <w:r>
        <w:rPr>
          <w:b/>
        </w:rPr>
        <w:t xml:space="preserve">Relationship Layer: </w:t>
      </w:r>
      <w:r>
        <w:t>Represents structural associations between entities.</w:t>
      </w:r>
    </w:p>
    <w:p w14:paraId="17640783" w14:textId="77777777" w:rsidR="007B52CE" w:rsidRDefault="00000000">
      <w:pPr>
        <w:pStyle w:val="ListBullet"/>
      </w:pPr>
      <w:r>
        <w:rPr>
          <w:b/>
        </w:rPr>
        <w:t xml:space="preserve">Participation Layer: </w:t>
      </w:r>
      <w:r>
        <w:t>Represents contextual involvement within processes or events.</w:t>
      </w:r>
    </w:p>
    <w:p w14:paraId="7380F963" w14:textId="77777777" w:rsidR="007B52CE" w:rsidRDefault="00000000">
      <w:pPr>
        <w:pStyle w:val="ListBullet"/>
      </w:pPr>
      <w:r>
        <w:rPr>
          <w:b/>
        </w:rPr>
        <w:t xml:space="preserve">Responsibility Layer: </w:t>
      </w:r>
      <w:r>
        <w:t>Represents accountability, stewardship, ownership, or coordination semantics.</w:t>
      </w:r>
    </w:p>
    <w:p w14:paraId="35EC5223" w14:textId="77777777" w:rsidR="007B52CE" w:rsidRDefault="00000000">
      <w:pPr>
        <w:pStyle w:val="ListBullet"/>
      </w:pPr>
      <w:r>
        <w:rPr>
          <w:b/>
        </w:rPr>
        <w:t xml:space="preserve">Event Layer: </w:t>
      </w:r>
      <w:r>
        <w:t>Represents meaningful transitions or operational occurrences.</w:t>
      </w:r>
    </w:p>
    <w:p w14:paraId="4617D644" w14:textId="77777777" w:rsidR="007B52CE" w:rsidRDefault="00000000">
      <w:pPr>
        <w:pStyle w:val="ListBullet"/>
      </w:pPr>
      <w:r>
        <w:rPr>
          <w:b/>
        </w:rPr>
        <w:t xml:space="preserve">Workflow Layer: </w:t>
      </w:r>
      <w:r>
        <w:t>Represents orchestration, routing, escalation, and operational management.</w:t>
      </w:r>
    </w:p>
    <w:p w14:paraId="1B83C878" w14:textId="77777777" w:rsidR="007B52CE" w:rsidRDefault="00000000">
      <w:pPr>
        <w:pStyle w:val="ListBullet"/>
      </w:pPr>
      <w:r>
        <w:rPr>
          <w:b/>
        </w:rPr>
        <w:t xml:space="preserve">Temporal Layer: </w:t>
      </w:r>
      <w:r>
        <w:t>Represents time-bounded validity of states, relationships, roles, and responsibilities.</w:t>
      </w:r>
    </w:p>
    <w:p w14:paraId="29AE6E4D" w14:textId="77777777" w:rsidR="007B52CE" w:rsidRDefault="00000000">
      <w:pPr>
        <w:pStyle w:val="Heading2"/>
      </w:pPr>
      <w:r>
        <w:t>Integrated Design Principles</w:t>
      </w:r>
    </w:p>
    <w:p w14:paraId="23CA371F" w14:textId="77777777" w:rsidR="007B52CE" w:rsidRDefault="00000000">
      <w:pPr>
        <w:pStyle w:val="ListBullet"/>
      </w:pPr>
      <w:r>
        <w:t>Foundational ontology alignment.</w:t>
      </w:r>
    </w:p>
    <w:p w14:paraId="1FB16E1D" w14:textId="77777777" w:rsidR="007B52CE" w:rsidRDefault="00000000">
      <w:pPr>
        <w:pStyle w:val="ListBullet"/>
      </w:pPr>
      <w:r>
        <w:t>Layered alignment semantics.</w:t>
      </w:r>
    </w:p>
    <w:p w14:paraId="74DA1DCE" w14:textId="77777777" w:rsidR="007B52CE" w:rsidRDefault="00000000">
      <w:pPr>
        <w:pStyle w:val="ListBullet"/>
      </w:pPr>
      <w:r>
        <w:t>Generalized entity principle.</w:t>
      </w:r>
    </w:p>
    <w:p w14:paraId="6EB66EC7" w14:textId="77777777" w:rsidR="007B52CE" w:rsidRDefault="00000000">
      <w:pPr>
        <w:pStyle w:val="ListBullet"/>
      </w:pPr>
      <w:r>
        <w:lastRenderedPageBreak/>
        <w:t>Orthogonal semantic layer principle.</w:t>
      </w:r>
    </w:p>
    <w:p w14:paraId="67C4CDBD" w14:textId="77777777" w:rsidR="007B52CE" w:rsidRDefault="00000000">
      <w:pPr>
        <w:pStyle w:val="ListBullet"/>
      </w:pPr>
      <w:r>
        <w:t>Intrinsic versus contextual semantics principle.</w:t>
      </w:r>
    </w:p>
    <w:p w14:paraId="0415B8D6" w14:textId="77777777" w:rsidR="007B52CE" w:rsidRDefault="00000000">
      <w:pPr>
        <w:pStyle w:val="ListBullet"/>
      </w:pPr>
      <w:r>
        <w:t>Role-based identity.</w:t>
      </w:r>
    </w:p>
    <w:p w14:paraId="50608FCE" w14:textId="77777777" w:rsidR="007B52CE" w:rsidRDefault="00000000">
      <w:pPr>
        <w:pStyle w:val="ListBullet"/>
      </w:pPr>
      <w:r>
        <w:t>Separation of semantic role from domain terminology.</w:t>
      </w:r>
    </w:p>
    <w:p w14:paraId="2379B62B" w14:textId="77777777" w:rsidR="007B52CE" w:rsidRDefault="00000000">
      <w:pPr>
        <w:pStyle w:val="ListBullet"/>
      </w:pPr>
      <w:r>
        <w:t>Support for individual and collective subjects.</w:t>
      </w:r>
    </w:p>
    <w:p w14:paraId="0F4E4B6B" w14:textId="77777777" w:rsidR="007B52CE" w:rsidRDefault="00000000">
      <w:pPr>
        <w:pStyle w:val="ListBullet"/>
      </w:pPr>
      <w:r>
        <w:t>Explicit group modeling.</w:t>
      </w:r>
    </w:p>
    <w:p w14:paraId="49AFF966" w14:textId="77777777" w:rsidR="007B52CE" w:rsidRDefault="00000000">
      <w:pPr>
        <w:pStyle w:val="ListBullet"/>
      </w:pPr>
      <w:r>
        <w:t>Definition-driven group semantics.</w:t>
      </w:r>
    </w:p>
    <w:p w14:paraId="7EFF9A5D" w14:textId="77777777" w:rsidR="007B52CE" w:rsidRDefault="00000000">
      <w:pPr>
        <w:pStyle w:val="ListBullet"/>
      </w:pPr>
      <w:r>
        <w:t>Distinction between participation and membership.</w:t>
      </w:r>
    </w:p>
    <w:p w14:paraId="2ED1D999" w14:textId="77777777" w:rsidR="007B52CE" w:rsidRDefault="00000000">
      <w:pPr>
        <w:pStyle w:val="ListBullet"/>
      </w:pPr>
      <w:r>
        <w:t>Role-mediated membership.</w:t>
      </w:r>
    </w:p>
    <w:p w14:paraId="43958724" w14:textId="77777777" w:rsidR="007B52CE" w:rsidRDefault="00000000">
      <w:pPr>
        <w:pStyle w:val="ListBullet"/>
      </w:pPr>
      <w:r>
        <w:t>Contextual participation.</w:t>
      </w:r>
    </w:p>
    <w:p w14:paraId="5A6E51A2" w14:textId="77777777" w:rsidR="007B52CE" w:rsidRDefault="00000000">
      <w:pPr>
        <w:pStyle w:val="ListBullet"/>
      </w:pPr>
      <w:r>
        <w:t>Participation responsibility separation principle.</w:t>
      </w:r>
    </w:p>
    <w:p w14:paraId="553EA0B9" w14:textId="77777777" w:rsidR="007B52CE" w:rsidRDefault="00000000">
      <w:pPr>
        <w:pStyle w:val="ListBullet"/>
      </w:pPr>
      <w:r>
        <w:t>Temporalized context principle.</w:t>
      </w:r>
    </w:p>
    <w:p w14:paraId="5EA8B01F" w14:textId="77777777" w:rsidR="007B52CE" w:rsidRDefault="00000000">
      <w:pPr>
        <w:pStyle w:val="ListBullet"/>
      </w:pPr>
      <w:r>
        <w:t>Operational semantics separation principle.</w:t>
      </w:r>
    </w:p>
    <w:p w14:paraId="08798A14" w14:textId="77777777" w:rsidR="007B52CE" w:rsidRDefault="00000000">
      <w:pPr>
        <w:pStyle w:val="ListBullet"/>
      </w:pPr>
      <w:r>
        <w:t>Domain decoupling with cross-domain reuse.</w:t>
      </w:r>
    </w:p>
    <w:p w14:paraId="39B2DB90" w14:textId="77777777" w:rsidR="007B52CE" w:rsidRDefault="00000000">
      <w:pPr>
        <w:pStyle w:val="ListBullet"/>
      </w:pPr>
      <w:r>
        <w:t>Policy and regulatory sensitivity.</w:t>
      </w:r>
    </w:p>
    <w:p w14:paraId="1D9DE2EE" w14:textId="77777777" w:rsidR="007B52CE" w:rsidRDefault="00000000">
      <w:pPr>
        <w:pStyle w:val="ListBullet"/>
      </w:pPr>
      <w:r>
        <w:t>Externalized semantic definition principle.</w:t>
      </w:r>
    </w:p>
    <w:p w14:paraId="4D17801A" w14:textId="77777777" w:rsidR="007B52CE" w:rsidRDefault="00000000">
      <w:pPr>
        <w:pStyle w:val="ListBullet"/>
      </w:pPr>
      <w:r>
        <w:t>DefinitionArtifact as computable construct.</w:t>
      </w:r>
    </w:p>
    <w:p w14:paraId="199A55C4" w14:textId="77777777" w:rsidR="007B52CE" w:rsidRDefault="00000000">
      <w:pPr>
        <w:pStyle w:val="ListBullet"/>
      </w:pPr>
      <w:r>
        <w:t>RuleExpression integration.</w:t>
      </w:r>
    </w:p>
    <w:p w14:paraId="50D8FE65" w14:textId="77777777" w:rsidR="007B52CE" w:rsidRDefault="00000000">
      <w:pPr>
        <w:pStyle w:val="ListBullet"/>
      </w:pPr>
      <w:r>
        <w:t>Separation of ontology and execution.</w:t>
      </w:r>
    </w:p>
    <w:p w14:paraId="2FA43964" w14:textId="77777777" w:rsidR="007B52CE" w:rsidRDefault="00000000">
      <w:pPr>
        <w:pStyle w:val="ListBullet"/>
      </w:pPr>
      <w:r>
        <w:t>Multiple expression support.</w:t>
      </w:r>
    </w:p>
    <w:p w14:paraId="4A3A7CDB" w14:textId="77777777" w:rsidR="007B52CE" w:rsidRDefault="00000000">
      <w:pPr>
        <w:pStyle w:val="ListBullet"/>
      </w:pPr>
      <w:r>
        <w:t>Explainability and provenance.</w:t>
      </w:r>
    </w:p>
    <w:p w14:paraId="40D4BAFF" w14:textId="77777777" w:rsidR="007B52CE" w:rsidRDefault="00000000">
      <w:pPr>
        <w:pStyle w:val="ListBullet"/>
      </w:pPr>
      <w:r>
        <w:t>Non-breaking extension.</w:t>
      </w:r>
    </w:p>
    <w:p w14:paraId="3C168F85" w14:textId="77777777" w:rsidR="007B52CE" w:rsidRDefault="00000000">
      <w:pPr>
        <w:pStyle w:val="ListBullet"/>
      </w:pPr>
      <w:r>
        <w:t>Interoperability abstraction.</w:t>
      </w:r>
    </w:p>
    <w:p w14:paraId="488CB4B6" w14:textId="77777777" w:rsidR="007B52CE" w:rsidRDefault="00000000">
      <w:pPr>
        <w:pStyle w:val="ListBullet"/>
      </w:pPr>
      <w:r>
        <w:t>External ontology alignment.</w:t>
      </w:r>
    </w:p>
    <w:p w14:paraId="58FD8A53" w14:textId="77777777" w:rsidR="007B52CE" w:rsidRDefault="00000000">
      <w:pPr>
        <w:pStyle w:val="ListBullet"/>
      </w:pPr>
      <w:r>
        <w:t>Agentive accountability and provenance.</w:t>
      </w:r>
    </w:p>
    <w:p w14:paraId="11B074B0" w14:textId="77777777" w:rsidR="007B52CE" w:rsidRDefault="00000000">
      <w:pPr>
        <w:pStyle w:val="Heading2"/>
      </w:pPr>
      <w:r>
        <w:t>Implications for the UCM</w:t>
      </w:r>
    </w:p>
    <w:p w14:paraId="397931F2" w14:textId="77777777" w:rsidR="007B52CE" w:rsidRDefault="00000000">
      <w:pPr>
        <w:pStyle w:val="ListBullet"/>
      </w:pPr>
      <w:r>
        <w:t>Entities are separated from contextual operational semantics.</w:t>
      </w:r>
    </w:p>
    <w:p w14:paraId="797DD89E" w14:textId="77777777" w:rsidR="007B52CE" w:rsidRDefault="00000000">
      <w:pPr>
        <w:pStyle w:val="ListBullet"/>
      </w:pPr>
      <w:r>
        <w:t>Roles such as Patient, Member, Provider, and Coordinator are contextual participations rather than intrinsic identities.</w:t>
      </w:r>
    </w:p>
    <w:p w14:paraId="6BEC1F14" w14:textId="77777777" w:rsidR="007B52CE" w:rsidRDefault="00000000">
      <w:pPr>
        <w:pStyle w:val="ListBullet"/>
      </w:pPr>
      <w:r>
        <w:t>Conditions are distinct from needs and workflow states.</w:t>
      </w:r>
    </w:p>
    <w:p w14:paraId="5C7141DE" w14:textId="77777777" w:rsidR="007B52CE" w:rsidRDefault="00000000">
      <w:pPr>
        <w:pStyle w:val="ListBullet"/>
      </w:pPr>
      <w:r>
        <w:t>Participation is distinct from responsibility and accountability.</w:t>
      </w:r>
    </w:p>
    <w:p w14:paraId="7FF8C85F" w14:textId="77777777" w:rsidR="007B52CE" w:rsidRDefault="00000000">
      <w:pPr>
        <w:pStyle w:val="ListBullet"/>
      </w:pPr>
      <w:r>
        <w:t>Workflow semantics are separated from real-world care semantics.</w:t>
      </w:r>
    </w:p>
    <w:p w14:paraId="062BE5D8" w14:textId="77777777" w:rsidR="007B52CE" w:rsidRDefault="00000000">
      <w:pPr>
        <w:pStyle w:val="ListBullet"/>
      </w:pPr>
      <w:r>
        <w:t>Temporal validity is treated as a first-class semantic concern.</w:t>
      </w:r>
    </w:p>
    <w:p w14:paraId="5D1D305C" w14:textId="77777777" w:rsidR="007B52CE" w:rsidRDefault="00000000">
      <w:pPr>
        <w:pStyle w:val="ListBullet"/>
      </w:pPr>
      <w:r>
        <w:t>Groups remain definition-driven rather than member-set-defined.</w:t>
      </w:r>
    </w:p>
    <w:p w14:paraId="43D52FA9" w14:textId="77777777" w:rsidR="007B52CE" w:rsidRDefault="00000000">
      <w:pPr>
        <w:pStyle w:val="ListBullet"/>
      </w:pPr>
      <w:r>
        <w:t>DefinitionArtifact and RuleExpression continue to support governed external computable semantics.</w:t>
      </w:r>
    </w:p>
    <w:p w14:paraId="649231FF" w14:textId="77777777" w:rsidR="007B52CE" w:rsidRDefault="00000000">
      <w:pPr>
        <w:pStyle w:val="ListBullet"/>
      </w:pPr>
      <w:r>
        <w:t>The same semantic architecture can be reused across healthcare, social care, housing, public health, and other coordinated human service ecosystems.</w:t>
      </w:r>
    </w:p>
    <w:p w14:paraId="5794E80A" w14:textId="77777777" w:rsidR="007B52CE" w:rsidRDefault="00000000">
      <w:pPr>
        <w:pStyle w:val="Heading2"/>
      </w:pPr>
      <w:r>
        <w:lastRenderedPageBreak/>
        <w:t>Updated Conceptual Entity Pattern</w:t>
      </w:r>
    </w:p>
    <w:p w14:paraId="0696B0C3" w14:textId="77777777" w:rsidR="007B52CE" w:rsidRDefault="00000000">
      <w:r>
        <w:rPr>
          <w:rFonts w:ascii="Courier New" w:hAnsi="Courier New"/>
          <w:sz w:val="20"/>
        </w:rPr>
        <w:t>ENTITY</w:t>
      </w:r>
      <w:r>
        <w:rPr>
          <w:rFonts w:ascii="Courier New" w:hAnsi="Courier New"/>
          <w:sz w:val="20"/>
        </w:rPr>
        <w:br/>
        <w:t xml:space="preserve"> ├── Identity</w:t>
      </w:r>
      <w:r>
        <w:rPr>
          <w:rFonts w:ascii="Courier New" w:hAnsi="Courier New"/>
          <w:sz w:val="20"/>
        </w:rPr>
        <w:br/>
        <w:t xml:space="preserve"> ├── Intrinsic State</w:t>
      </w:r>
      <w:r>
        <w:rPr>
          <w:rFonts w:ascii="Courier New" w:hAnsi="Courier New"/>
          <w:sz w:val="20"/>
        </w:rPr>
        <w:br/>
        <w:t xml:space="preserve"> ├── Relationships</w:t>
      </w:r>
      <w:r>
        <w:rPr>
          <w:rFonts w:ascii="Courier New" w:hAnsi="Courier New"/>
          <w:sz w:val="20"/>
        </w:rPr>
        <w:br/>
        <w:t xml:space="preserve"> ├── Participation</w:t>
      </w:r>
      <w:r>
        <w:rPr>
          <w:rFonts w:ascii="Courier New" w:hAnsi="Courier New"/>
          <w:sz w:val="20"/>
        </w:rPr>
        <w:br/>
        <w:t xml:space="preserve"> ├── Responsibility</w:t>
      </w:r>
      <w:r>
        <w:rPr>
          <w:rFonts w:ascii="Courier New" w:hAnsi="Courier New"/>
          <w:sz w:val="20"/>
        </w:rPr>
        <w:br/>
        <w:t xml:space="preserve"> ├── Events</w:t>
      </w:r>
      <w:r>
        <w:rPr>
          <w:rFonts w:ascii="Courier New" w:hAnsi="Courier New"/>
          <w:sz w:val="20"/>
        </w:rPr>
        <w:br/>
        <w:t xml:space="preserve"> ├── Workflow Context</w:t>
      </w:r>
      <w:r>
        <w:rPr>
          <w:rFonts w:ascii="Courier New" w:hAnsi="Courier New"/>
          <w:sz w:val="20"/>
        </w:rPr>
        <w:br/>
        <w:t xml:space="preserve"> └── Temporal Context</w:t>
      </w:r>
    </w:p>
    <w:p w14:paraId="5E07D63F" w14:textId="77777777" w:rsidR="007B52CE" w:rsidRDefault="00000000">
      <w:pPr>
        <w:pStyle w:val="Heading2"/>
      </w:pPr>
      <w:r>
        <w:t>Summary</w:t>
      </w:r>
    </w:p>
    <w:p w14:paraId="6DB30B92" w14:textId="77777777" w:rsidR="007B52CE" w:rsidRDefault="00000000">
      <w:r>
        <w:t>The updated UCM preserves the original April 30 semantic architecture while strengthening semantic separation between identity, state, participation, responsibility, workflow, and temporal semantics. The resulting model provides a reusable operational semantic foundation for coordinated human service ecosystems while maintaining alignment with SULO, BFO, FHIR, and other interoperability standards.</w:t>
      </w:r>
    </w:p>
    <w:p w14:paraId="08CFD455" w14:textId="77777777" w:rsidR="00D20ED6" w:rsidRDefault="00000000">
      <w:r>
        <w:br w:type="page"/>
      </w:r>
    </w:p>
    <w:p w14:paraId="281170C3" w14:textId="77777777" w:rsidR="00D20ED6" w:rsidRDefault="00000000">
      <w:pPr>
        <w:pStyle w:val="Heading1"/>
      </w:pPr>
      <w:r>
        <w:lastRenderedPageBreak/>
        <w:t>Enhanced Group Membership and Conformance Semantics</w:t>
      </w:r>
    </w:p>
    <w:p w14:paraId="401F9EF0" w14:textId="77777777" w:rsidR="00D20ED6" w:rsidRDefault="00000000">
      <w:r>
        <w:t>The UCM group architecture has been extended to explicitly distinguish structural group membership from definition-governed membership validity. This enhancement introduces first-class semantic support for membership assertions, membership conformance evaluation, membership provenance, and temporally valid membership states.</w:t>
      </w:r>
    </w:p>
    <w:p w14:paraId="18213C93" w14:textId="77777777" w:rsidR="00D20ED6" w:rsidRDefault="00000000">
      <w:r>
        <w:t>A Group remains a definition-driven semantic construct whose identity is governed by one or more DefinitionArtifacts and associated RuleExpressions. However, membership in a Group is no longer treated as a simple binary structural relationship between a Person and a Group. Instead, membership may now be represented through an explicit GroupMembership contextual semantic construct.</w:t>
      </w:r>
    </w:p>
    <w:p w14:paraId="4E1D8FA5" w14:textId="77777777" w:rsidR="00D20ED6" w:rsidRDefault="00000000">
      <w:r>
        <w:t>The GroupMembership construct represents the contextual semantic state in which an entity is recognized as a valid member of a Group because the entity conforms to the criteria expressed by the GroupDefinitionArtifact. This allows the model to distinguish between asserted membership, inferred membership, policy-derived membership, calculated membership, and operational enrollment semantics.</w:t>
      </w:r>
    </w:p>
    <w:p w14:paraId="5F1C8847" w14:textId="77777777" w:rsidR="00D20ED6" w:rsidRDefault="00000000">
      <w:r>
        <w:t>The enhanced model supports explicit conformance semantics through relationships such as conformsToDefinition, validatedAgainst, membershipBasis, derivedFromEvidence, establishedByProcess, and membershipStatus. These semantics provide support for explainability, governance, auditability, eligibility determination, cohort reproducibility, and AI transparency.</w:t>
      </w:r>
    </w:p>
    <w:p w14:paraId="64A4F5BD" w14:textId="77777777" w:rsidR="00D20ED6" w:rsidRDefault="00000000">
      <w:r>
        <w:t>GroupMembership is treated as a contextual semantic state rather than an intrinsic property of a Person or Group. Membership validity may therefore be temporally bounded, revocable, recalculated, policy-governed, or workflow-derived.</w:t>
      </w:r>
    </w:p>
    <w:p w14:paraId="27744DB8" w14:textId="77777777" w:rsidR="00D20ED6" w:rsidRDefault="00000000">
      <w:r>
        <w:t>This enhancement preserves backward compatibility with existing hasMember and memberOf relationships while providing a richer semantic framework for governed operational ecosystems including healthcare, social care, public health, analytics, population management, and AI-driven applications.</w:t>
      </w:r>
    </w:p>
    <w:p w14:paraId="33D66190" w14:textId="77777777" w:rsidR="00D20ED6" w:rsidRDefault="00000000">
      <w:r>
        <w:t>The resulting architecture strengthens the UCM's ability to support definition-governed operational semantics while preserving separation between identity, participation, responsibility, workflow, and policy-driven contextual semantics.</w:t>
      </w:r>
    </w:p>
    <w:p w14:paraId="4269A35C" w14:textId="77777777" w:rsidR="00D20ED6" w:rsidRDefault="00000000">
      <w:pPr>
        <w:pStyle w:val="Heading2"/>
      </w:pPr>
      <w:r>
        <w:t>New Conceptual Semantics Introduced</w:t>
      </w:r>
    </w:p>
    <w:p w14:paraId="69ACD64A" w14:textId="77777777" w:rsidR="00D20ED6" w:rsidRDefault="00000000">
      <w:pPr>
        <w:pStyle w:val="ListBullet"/>
      </w:pPr>
      <w:r>
        <w:t>GroupMembership as a first-class contextual semantic construct</w:t>
      </w:r>
    </w:p>
    <w:p w14:paraId="26A5B4DE" w14:textId="77777777" w:rsidR="00D20ED6" w:rsidRDefault="00000000">
      <w:pPr>
        <w:pStyle w:val="ListBullet"/>
      </w:pPr>
      <w:r>
        <w:t>Definition-governed membership validity</w:t>
      </w:r>
    </w:p>
    <w:p w14:paraId="3E187646" w14:textId="77777777" w:rsidR="00D20ED6" w:rsidRDefault="00000000">
      <w:pPr>
        <w:pStyle w:val="ListBullet"/>
      </w:pPr>
      <w:r>
        <w:t>Explicit membership conformance semantics</w:t>
      </w:r>
    </w:p>
    <w:p w14:paraId="4B7E3C29" w14:textId="77777777" w:rsidR="00D20ED6" w:rsidRDefault="00000000">
      <w:pPr>
        <w:pStyle w:val="ListBullet"/>
      </w:pPr>
      <w:r>
        <w:t>Membership provenance and explainability</w:t>
      </w:r>
    </w:p>
    <w:p w14:paraId="44D6DDD7" w14:textId="77777777" w:rsidR="00D20ED6" w:rsidRDefault="00000000">
      <w:pPr>
        <w:pStyle w:val="ListBullet"/>
      </w:pPr>
      <w:r>
        <w:t>Membership basis classification (asserted, inferred, calculated, enrolled, policy-derived)</w:t>
      </w:r>
    </w:p>
    <w:p w14:paraId="02095EFF" w14:textId="77777777" w:rsidR="00D20ED6" w:rsidRDefault="00000000">
      <w:pPr>
        <w:pStyle w:val="ListBullet"/>
      </w:pPr>
      <w:r>
        <w:t>Temporalized membership validity</w:t>
      </w:r>
    </w:p>
    <w:p w14:paraId="3C8E009A" w14:textId="77777777" w:rsidR="00D20ED6" w:rsidRDefault="00000000">
      <w:pPr>
        <w:pStyle w:val="ListBullet"/>
      </w:pPr>
      <w:r>
        <w:t>Separation of structural membership from evaluated membership</w:t>
      </w:r>
    </w:p>
    <w:p w14:paraId="2EB9F4FB" w14:textId="77777777" w:rsidR="00D20ED6" w:rsidRDefault="00000000">
      <w:pPr>
        <w:pStyle w:val="ListBullet"/>
      </w:pPr>
      <w:r>
        <w:lastRenderedPageBreak/>
        <w:t>Support for governed semantic cohorting and AI transparency</w:t>
      </w:r>
    </w:p>
    <w:p w14:paraId="2EF81448" w14:textId="77777777" w:rsidR="00D20ED6" w:rsidRDefault="00000000">
      <w:pPr>
        <w:pStyle w:val="Heading2"/>
      </w:pPr>
      <w:r>
        <w:t>Enhanced Membership Conceptual Pattern</w:t>
      </w:r>
    </w:p>
    <w:p w14:paraId="7E2ED27D" w14:textId="77777777" w:rsidR="00D20ED6" w:rsidRDefault="00000000">
      <w:r>
        <w:br/>
        <w:t>Person/Entity</w:t>
      </w:r>
      <w:r>
        <w:br/>
        <w:t xml:space="preserve">    ↓</w:t>
      </w:r>
      <w:r>
        <w:br/>
        <w:t>GroupMembership</w:t>
      </w:r>
      <w:r>
        <w:br/>
        <w:t xml:space="preserve">    ├── memberOfGroup</w:t>
      </w:r>
      <w:r>
        <w:br/>
        <w:t xml:space="preserve">    ├── conformsToDefinition</w:t>
      </w:r>
      <w:r>
        <w:br/>
        <w:t xml:space="preserve">    ├── validatedAgainst</w:t>
      </w:r>
      <w:r>
        <w:br/>
        <w:t xml:space="preserve">    ├── membershipBasis</w:t>
      </w:r>
      <w:r>
        <w:br/>
        <w:t xml:space="preserve">    ├── establishedByProcess</w:t>
      </w:r>
      <w:r>
        <w:br/>
        <w:t xml:space="preserve">    ├── derivedFromEvidence</w:t>
      </w:r>
      <w:r>
        <w:br/>
        <w:t xml:space="preserve">    ├── membershipStatus</w:t>
      </w:r>
      <w:r>
        <w:br/>
        <w:t xml:space="preserve">    └── temporalValidity</w:t>
      </w:r>
      <w:r>
        <w:br/>
      </w:r>
    </w:p>
    <w:sectPr w:rsidR="00D20ED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775430">
    <w:abstractNumId w:val="8"/>
  </w:num>
  <w:num w:numId="2" w16cid:durableId="1000502791">
    <w:abstractNumId w:val="6"/>
  </w:num>
  <w:num w:numId="3" w16cid:durableId="164906528">
    <w:abstractNumId w:val="5"/>
  </w:num>
  <w:num w:numId="4" w16cid:durableId="1438057129">
    <w:abstractNumId w:val="4"/>
  </w:num>
  <w:num w:numId="5" w16cid:durableId="421415030">
    <w:abstractNumId w:val="7"/>
  </w:num>
  <w:num w:numId="6" w16cid:durableId="261453555">
    <w:abstractNumId w:val="3"/>
  </w:num>
  <w:num w:numId="7" w16cid:durableId="85998022">
    <w:abstractNumId w:val="2"/>
  </w:num>
  <w:num w:numId="8" w16cid:durableId="1578437750">
    <w:abstractNumId w:val="1"/>
  </w:num>
  <w:num w:numId="9" w16cid:durableId="155195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B52CE"/>
    <w:rsid w:val="007C32C4"/>
    <w:rsid w:val="00AA1D8D"/>
    <w:rsid w:val="00B47730"/>
    <w:rsid w:val="00B604FF"/>
    <w:rsid w:val="00CB0664"/>
    <w:rsid w:val="00D20ED6"/>
    <w:rsid w:val="00D4357F"/>
    <w:rsid w:val="00ED73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4C4605"/>
  <w14:defaultImageDpi w14:val="300"/>
  <w15:docId w15:val="{92DB87D3-1EB7-486E-8F8F-CC9DEC68F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1160</Words>
  <Characters>6211</Characters>
  <Application>Microsoft Office Word</Application>
  <DocSecurity>0</DocSecurity>
  <Lines>94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 Lord</cp:lastModifiedBy>
  <cp:revision>2</cp:revision>
  <dcterms:created xsi:type="dcterms:W3CDTF">2026-05-15T12:49:00Z</dcterms:created>
  <dcterms:modified xsi:type="dcterms:W3CDTF">2026-05-15T12:49:00Z</dcterms:modified>
  <cp:category/>
</cp:coreProperties>
</file>