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22D0D" w14:textId="77777777" w:rsidR="001922DF" w:rsidRDefault="00000000">
      <w:pPr>
        <w:pStyle w:val="Heading1"/>
        <w:jc w:val="center"/>
      </w:pPr>
      <w:r>
        <w:t>Unified Care Model (UCM) Architecture</w:t>
      </w:r>
    </w:p>
    <w:p w14:paraId="5F96F59B" w14:textId="77777777" w:rsidR="001922DF" w:rsidRDefault="00000000">
      <w:pPr>
        <w:jc w:val="center"/>
      </w:pPr>
      <w:r>
        <w:t>Layered Semantic Participation and Logical Information Abstraction Architecture</w:t>
      </w:r>
    </w:p>
    <w:p w14:paraId="3D5929C1" w14:textId="77777777" w:rsidR="001922DF" w:rsidRDefault="00000000">
      <w:pPr>
        <w:pStyle w:val="Heading2"/>
      </w:pPr>
      <w:r>
        <w:t>Executive Summary</w:t>
      </w:r>
    </w:p>
    <w:p w14:paraId="20A3A0EA" w14:textId="77777777" w:rsidR="001922DF" w:rsidRDefault="00000000">
      <w:r>
        <w:t>The Unified Care Model (UCM) is a layered semantic participation and logical information abstraction architecture designed to support whole-person interoperability, cross-domain coordination, semantic normalization, explainable AI, NLP processing, split-learning models, semantic federation, and interoperability transformation.</w:t>
      </w:r>
    </w:p>
    <w:p w14:paraId="4060F5A4" w14:textId="77777777" w:rsidR="001922DF" w:rsidRDefault="00000000">
      <w:r>
        <w:t>The architecture separates foundational semantic primitives, contextual participation semantics, and domain-specific semantic specializations into independently evolvable but interoperable semantic layers.</w:t>
      </w:r>
    </w:p>
    <w:p w14:paraId="62BC7D1A" w14:textId="77777777" w:rsidR="001922DF" w:rsidRDefault="00000000">
      <w:pPr>
        <w:pStyle w:val="Heading2"/>
      </w:pPr>
      <w:r>
        <w:t>1. Architectural Vision</w:t>
      </w:r>
    </w:p>
    <w:p w14:paraId="74183731" w14:textId="77777777" w:rsidR="001922DF" w:rsidRDefault="00000000">
      <w:pPr>
        <w:pStyle w:val="ListBullet"/>
      </w:pPr>
      <w:r>
        <w:t>Separate stable identity from contextual participation semantics</w:t>
      </w:r>
    </w:p>
    <w:p w14:paraId="600A5074" w14:textId="77777777" w:rsidR="001922DF" w:rsidRDefault="00000000">
      <w:pPr>
        <w:pStyle w:val="ListBullet"/>
      </w:pPr>
      <w:r>
        <w:t>Provide reusable semantic participation infrastructure</w:t>
      </w:r>
    </w:p>
    <w:p w14:paraId="06BD6383" w14:textId="77777777" w:rsidR="001922DF" w:rsidRDefault="00000000">
      <w:pPr>
        <w:pStyle w:val="ListBullet"/>
      </w:pPr>
      <w:r>
        <w:t>Enable independently evolvable domain semantic models</w:t>
      </w:r>
    </w:p>
    <w:p w14:paraId="2A9F4540" w14:textId="77777777" w:rsidR="001922DF" w:rsidRDefault="00000000">
      <w:pPr>
        <w:pStyle w:val="ListBullet"/>
      </w:pPr>
      <w:r>
        <w:t>Support whole-person interoperability across domains</w:t>
      </w:r>
    </w:p>
    <w:p w14:paraId="3B30659E" w14:textId="77777777" w:rsidR="001922DF" w:rsidRDefault="00000000">
      <w:pPr>
        <w:pStyle w:val="ListBullet"/>
      </w:pPr>
      <w:r>
        <w:t>Enable explainable AI and semantic reasoning</w:t>
      </w:r>
    </w:p>
    <w:p w14:paraId="4AB72F2C" w14:textId="77777777" w:rsidR="001922DF" w:rsidRDefault="00000000">
      <w:pPr>
        <w:pStyle w:val="ListBullet"/>
      </w:pPr>
      <w:r>
        <w:t>Normalize semantic meaning independently from operational interoperability ecosystems</w:t>
      </w:r>
    </w:p>
    <w:p w14:paraId="70997D7A" w14:textId="77777777" w:rsidR="001922DF" w:rsidRDefault="00000000">
      <w:pPr>
        <w:pStyle w:val="ListBullet"/>
      </w:pPr>
      <w:r>
        <w:t>Provide a reusable semantic platform architecture</w:t>
      </w:r>
    </w:p>
    <w:p w14:paraId="4B6FB0FF" w14:textId="77777777" w:rsidR="001922DF" w:rsidRDefault="00000000">
      <w:pPr>
        <w:pStyle w:val="Heading2"/>
      </w:pPr>
      <w:r>
        <w:t>2. Layered Semantic Architecture</w:t>
      </w:r>
    </w:p>
    <w:p w14:paraId="16E61442" w14:textId="77777777" w:rsidR="001922DF" w:rsidRDefault="00000000">
      <w:r>
        <w:t>The UCM architecture is intentionally organized into layered semantic abstractions.</w:t>
      </w:r>
    </w:p>
    <w:p w14:paraId="13A3F7DA" w14:textId="77777777" w:rsidR="001922DF" w:rsidRDefault="00000000">
      <w:r>
        <w:br/>
        <w:t>Domain Models</w:t>
      </w:r>
      <w:r>
        <w:br/>
        <w:t xml:space="preserve">    Clinical</w:t>
      </w:r>
      <w:r>
        <w:br/>
        <w:t xml:space="preserve">    Housing</w:t>
      </w:r>
      <w:r>
        <w:br/>
        <w:t xml:space="preserve">    Social Care</w:t>
      </w:r>
      <w:r>
        <w:br/>
        <w:t xml:space="preserve">    Behavioral Health</w:t>
      </w:r>
      <w:r>
        <w:br/>
        <w:t xml:space="preserve">    Public Health</w:t>
      </w:r>
      <w:r>
        <w:br/>
      </w:r>
      <w:r>
        <w:br/>
        <w:t>Participation Model</w:t>
      </w:r>
      <w:r>
        <w:br/>
        <w:t xml:space="preserve">    Participation</w:t>
      </w:r>
      <w:r>
        <w:br/>
        <w:t xml:space="preserve">    Role</w:t>
      </w:r>
      <w:r>
        <w:br/>
        <w:t xml:space="preserve">    SubjectRole</w:t>
      </w:r>
      <w:r>
        <w:br/>
        <w:t xml:space="preserve">    PatientRole</w:t>
      </w:r>
      <w:r>
        <w:br/>
        <w:t xml:space="preserve">    ClientRole</w:t>
      </w:r>
      <w:r>
        <w:br/>
        <w:t xml:space="preserve">    ResidentRole</w:t>
      </w:r>
      <w:r>
        <w:br/>
      </w:r>
      <w:r>
        <w:br/>
      </w:r>
      <w:r>
        <w:lastRenderedPageBreak/>
        <w:t>Core Model</w:t>
      </w:r>
      <w:r>
        <w:br/>
        <w:t xml:space="preserve">    Entity</w:t>
      </w:r>
      <w:r>
        <w:br/>
        <w:t xml:space="preserve">    Process</w:t>
      </w:r>
      <w:r>
        <w:br/>
        <w:t xml:space="preserve">    Statement</w:t>
      </w:r>
      <w:r>
        <w:br/>
        <w:t xml:space="preserve">    SemanticContext</w:t>
      </w:r>
      <w:r>
        <w:br/>
        <w:t xml:space="preserve">    DefinitionArtifact</w:t>
      </w:r>
      <w:r>
        <w:br/>
      </w:r>
      <w:r>
        <w:br/>
        <w:t>SULO-Informed Semantic Foundations</w:t>
      </w:r>
      <w:r>
        <w:br/>
      </w:r>
    </w:p>
    <w:p w14:paraId="146831CD" w14:textId="77777777" w:rsidR="001922DF" w:rsidRDefault="00000000">
      <w:pPr>
        <w:pStyle w:val="Heading2"/>
      </w:pPr>
      <w:r>
        <w:t>3. Core Model</w:t>
      </w:r>
    </w:p>
    <w:p w14:paraId="7C4B4383" w14:textId="77777777" w:rsidR="001922DF" w:rsidRDefault="00000000">
      <w:r>
        <w:t>The Core Model contains stable semantic primitives reused across all participation and domain semantics.</w:t>
      </w:r>
    </w:p>
    <w:p w14:paraId="6E69E1B6" w14:textId="77777777" w:rsidR="001922DF" w:rsidRDefault="00000000">
      <w:pPr>
        <w:pStyle w:val="Heading3"/>
      </w:pPr>
      <w:r>
        <w:t>3.1 Entity</w:t>
      </w:r>
    </w:p>
    <w:p w14:paraId="6F04FD53" w14:textId="77777777" w:rsidR="001922DF" w:rsidRDefault="00000000">
      <w:r>
        <w:t>Entity represents a stable independently identifiable semantic thing.</w:t>
      </w:r>
    </w:p>
    <w:p w14:paraId="2D773CE2" w14:textId="77777777" w:rsidR="001922DF" w:rsidRDefault="00000000">
      <w:pPr>
        <w:pStyle w:val="ListBullet"/>
      </w:pPr>
      <w:r>
        <w:t>Person</w:t>
      </w:r>
    </w:p>
    <w:p w14:paraId="52677AF3" w14:textId="77777777" w:rsidR="001922DF" w:rsidRDefault="00000000">
      <w:pPr>
        <w:pStyle w:val="ListBullet"/>
      </w:pPr>
      <w:r>
        <w:t>Organization</w:t>
      </w:r>
    </w:p>
    <w:p w14:paraId="66E495BD" w14:textId="77777777" w:rsidR="001922DF" w:rsidRDefault="00000000">
      <w:pPr>
        <w:pStyle w:val="ListBullet"/>
      </w:pPr>
      <w:r>
        <w:t>SocialGroupEntity</w:t>
      </w:r>
    </w:p>
    <w:p w14:paraId="6A516F37" w14:textId="77777777" w:rsidR="001922DF" w:rsidRDefault="00000000">
      <w:pPr>
        <w:pStyle w:val="ListBullet"/>
      </w:pPr>
      <w:r>
        <w:t>Household</w:t>
      </w:r>
    </w:p>
    <w:p w14:paraId="51247EF9" w14:textId="77777777" w:rsidR="001922DF" w:rsidRDefault="00000000">
      <w:pPr>
        <w:pStyle w:val="ListBullet"/>
      </w:pPr>
      <w:r>
        <w:t>Device</w:t>
      </w:r>
    </w:p>
    <w:p w14:paraId="0028092D" w14:textId="77777777" w:rsidR="001922DF" w:rsidRDefault="00000000">
      <w:pPr>
        <w:pStyle w:val="ListBullet"/>
      </w:pPr>
      <w:r>
        <w:t>Location</w:t>
      </w:r>
    </w:p>
    <w:p w14:paraId="1AF4BA59" w14:textId="77777777" w:rsidR="001922DF" w:rsidRDefault="00000000">
      <w:pPr>
        <w:pStyle w:val="ListBullet"/>
      </w:pPr>
      <w:r>
        <w:t>InformationArtifact</w:t>
      </w:r>
    </w:p>
    <w:p w14:paraId="399DA840" w14:textId="77777777" w:rsidR="001922DF" w:rsidRDefault="00000000">
      <w:r>
        <w:t>The UCM separates stable identity from contextual participation semantics.</w:t>
      </w:r>
    </w:p>
    <w:p w14:paraId="704C5EC9" w14:textId="77777777" w:rsidR="001922DF" w:rsidRDefault="00000000">
      <w:pPr>
        <w:pStyle w:val="Heading3"/>
      </w:pPr>
      <w:r>
        <w:t>3.2 Process</w:t>
      </w:r>
    </w:p>
    <w:p w14:paraId="3CDD466C" w14:textId="77777777" w:rsidR="001922DF" w:rsidRDefault="00000000">
      <w:r>
        <w:t>Processes represent bounded interactions and activities occurring over time.</w:t>
      </w:r>
    </w:p>
    <w:p w14:paraId="0FE36B63" w14:textId="77777777" w:rsidR="001922DF" w:rsidRDefault="00000000">
      <w:pPr>
        <w:pStyle w:val="ListBullet"/>
      </w:pPr>
      <w:r>
        <w:t>ClinicalEncounter</w:t>
      </w:r>
    </w:p>
    <w:p w14:paraId="229B79C0" w14:textId="77777777" w:rsidR="001922DF" w:rsidRDefault="00000000">
      <w:pPr>
        <w:pStyle w:val="ListBullet"/>
      </w:pPr>
      <w:r>
        <w:t>HousingAssessment</w:t>
      </w:r>
    </w:p>
    <w:p w14:paraId="419A8AD9" w14:textId="77777777" w:rsidR="001922DF" w:rsidRDefault="00000000">
      <w:pPr>
        <w:pStyle w:val="ListBullet"/>
      </w:pPr>
      <w:r>
        <w:t>EligibilityDetermination</w:t>
      </w:r>
    </w:p>
    <w:p w14:paraId="60CD8757" w14:textId="77777777" w:rsidR="001922DF" w:rsidRDefault="00000000">
      <w:pPr>
        <w:pStyle w:val="ListBullet"/>
      </w:pPr>
      <w:r>
        <w:t>CareCoordinationInteraction</w:t>
      </w:r>
    </w:p>
    <w:p w14:paraId="47CDECA5" w14:textId="77777777" w:rsidR="001922DF" w:rsidRDefault="00000000">
      <w:pPr>
        <w:pStyle w:val="Heading3"/>
      </w:pPr>
      <w:r>
        <w:t>3.3 Statement</w:t>
      </w:r>
    </w:p>
    <w:p w14:paraId="41FC6031" w14:textId="77777777" w:rsidR="001922DF" w:rsidRDefault="00000000">
      <w:r>
        <w:t>Statements represent informational assertions, determinations, findings, or evaluative conclusions.</w:t>
      </w:r>
    </w:p>
    <w:p w14:paraId="0A030102" w14:textId="77777777" w:rsidR="001922DF" w:rsidRDefault="00000000">
      <w:pPr>
        <w:pStyle w:val="ListBullet"/>
      </w:pPr>
      <w:r>
        <w:t>DiagnosisStatement</w:t>
      </w:r>
    </w:p>
    <w:p w14:paraId="304A6EF6" w14:textId="77777777" w:rsidR="001922DF" w:rsidRDefault="00000000">
      <w:pPr>
        <w:pStyle w:val="ListBullet"/>
      </w:pPr>
      <w:r>
        <w:t>HousingEligibilityStatement</w:t>
      </w:r>
    </w:p>
    <w:p w14:paraId="328FA6EA" w14:textId="77777777" w:rsidR="001922DF" w:rsidRDefault="00000000">
      <w:pPr>
        <w:pStyle w:val="ListBullet"/>
      </w:pPr>
      <w:r>
        <w:t>RiskAssessmentStatement</w:t>
      </w:r>
    </w:p>
    <w:p w14:paraId="4C0326CA" w14:textId="77777777" w:rsidR="001922DF" w:rsidRDefault="00000000">
      <w:pPr>
        <w:pStyle w:val="ListBullet"/>
      </w:pPr>
      <w:r>
        <w:t>CareRecommendationStatement</w:t>
      </w:r>
    </w:p>
    <w:p w14:paraId="2FF3EDAC" w14:textId="77777777" w:rsidR="001922DF" w:rsidRDefault="00000000">
      <w:pPr>
        <w:pStyle w:val="Heading3"/>
      </w:pPr>
      <w:r>
        <w:lastRenderedPageBreak/>
        <w:t>3.4 SemanticContext</w:t>
      </w:r>
    </w:p>
    <w:p w14:paraId="3BF1B49A" w14:textId="77777777" w:rsidR="001922DF" w:rsidRDefault="00000000">
      <w:r>
        <w:t>SemanticContext defines interpretive environments, governance scope, policy semantics, and applicability boundaries.</w:t>
      </w:r>
    </w:p>
    <w:p w14:paraId="42AA5EF9" w14:textId="77777777" w:rsidR="001922DF" w:rsidRDefault="00000000">
      <w:pPr>
        <w:pStyle w:val="ListBullet"/>
      </w:pPr>
      <w:r>
        <w:t>ClinicalCareContext</w:t>
      </w:r>
    </w:p>
    <w:p w14:paraId="1D0A46EF" w14:textId="77777777" w:rsidR="001922DF" w:rsidRDefault="00000000">
      <w:pPr>
        <w:pStyle w:val="ListBullet"/>
      </w:pPr>
      <w:r>
        <w:t>HousingEligibilityContext</w:t>
      </w:r>
    </w:p>
    <w:p w14:paraId="2E4FF573" w14:textId="77777777" w:rsidR="001922DF" w:rsidRDefault="00000000">
      <w:pPr>
        <w:pStyle w:val="ListBullet"/>
      </w:pPr>
      <w:r>
        <w:t>SocialCareContext</w:t>
      </w:r>
    </w:p>
    <w:p w14:paraId="4C880036" w14:textId="77777777" w:rsidR="001922DF" w:rsidRDefault="00000000">
      <w:pPr>
        <w:pStyle w:val="ListBullet"/>
      </w:pPr>
      <w:r>
        <w:t>BehavioralHealthContext</w:t>
      </w:r>
    </w:p>
    <w:p w14:paraId="187D03BE" w14:textId="77777777" w:rsidR="001922DF" w:rsidRDefault="00000000">
      <w:r>
        <w:t>Context semantics are intentionally separated from statement semantics to support reusable governance, longitudinal reasoning, explainability, and policy evolution.</w:t>
      </w:r>
    </w:p>
    <w:p w14:paraId="0F0547A0" w14:textId="77777777" w:rsidR="001922DF" w:rsidRDefault="00000000">
      <w:pPr>
        <w:pStyle w:val="Heading3"/>
      </w:pPr>
      <w:r>
        <w:t>3.5 DefinitionArtifact</w:t>
      </w:r>
    </w:p>
    <w:p w14:paraId="5899700F" w14:textId="77777777" w:rsidR="001922DF" w:rsidRDefault="00000000">
      <w:r>
        <w:t>DefinitionArtifact represents governance semantics including rules, definitions, policy artifacts, constraints, and semantic governance structures.</w:t>
      </w:r>
    </w:p>
    <w:p w14:paraId="116CCC5D" w14:textId="77777777" w:rsidR="001922DF" w:rsidRDefault="00000000">
      <w:pPr>
        <w:pStyle w:val="ListBullet"/>
      </w:pPr>
      <w:r>
        <w:t>EligibilityRuleset</w:t>
      </w:r>
    </w:p>
    <w:p w14:paraId="15E8C841" w14:textId="77777777" w:rsidR="001922DF" w:rsidRDefault="00000000">
      <w:pPr>
        <w:pStyle w:val="ListBullet"/>
      </w:pPr>
      <w:r>
        <w:t>PolicyDefinition</w:t>
      </w:r>
    </w:p>
    <w:p w14:paraId="1E572F7F" w14:textId="77777777" w:rsidR="001922DF" w:rsidRDefault="00000000">
      <w:pPr>
        <w:pStyle w:val="ListBullet"/>
      </w:pPr>
      <w:r>
        <w:t>SemanticConstraint</w:t>
      </w:r>
    </w:p>
    <w:p w14:paraId="11C5D25D" w14:textId="77777777" w:rsidR="001922DF" w:rsidRDefault="00000000">
      <w:pPr>
        <w:pStyle w:val="ListBullet"/>
      </w:pPr>
      <w:r>
        <w:t>ProgramDefinition</w:t>
      </w:r>
    </w:p>
    <w:p w14:paraId="6D23E83D" w14:textId="77777777" w:rsidR="001922DF" w:rsidRDefault="00000000">
      <w:pPr>
        <w:pStyle w:val="Heading2"/>
      </w:pPr>
      <w:r>
        <w:t>4. Participation Model</w:t>
      </w:r>
    </w:p>
    <w:p w14:paraId="15915DAE" w14:textId="77777777" w:rsidR="001922DF" w:rsidRDefault="00000000">
      <w:r>
        <w:t>The Participation Model separates contextual participation semantics from stable identity semantics.</w:t>
      </w:r>
    </w:p>
    <w:p w14:paraId="04C396E2" w14:textId="77777777" w:rsidR="001922DF" w:rsidRDefault="00000000">
      <w:pPr>
        <w:pStyle w:val="Heading3"/>
      </w:pPr>
      <w:r>
        <w:t>4.1 Participation</w:t>
      </w:r>
    </w:p>
    <w:p w14:paraId="5E801831" w14:textId="77777777" w:rsidR="001922DF" w:rsidRDefault="00000000">
      <w:r>
        <w:t>Participation represents contextual involvement of entities within processes and semantic contexts.</w:t>
      </w:r>
    </w:p>
    <w:p w14:paraId="732D0390" w14:textId="77777777" w:rsidR="001922DF" w:rsidRDefault="00000000">
      <w:pPr>
        <w:pStyle w:val="Heading3"/>
      </w:pPr>
      <w:r>
        <w:t>4.2 Role</w:t>
      </w:r>
    </w:p>
    <w:p w14:paraId="20EE9D81" w14:textId="77777777" w:rsidR="001922DF" w:rsidRDefault="00000000">
      <w:r>
        <w:t>Roles represent contextual, anti-rigid participation semantics rather than intrinsic classifications of entities.</w:t>
      </w:r>
    </w:p>
    <w:p w14:paraId="7D1D30CE" w14:textId="77777777" w:rsidR="001922DF" w:rsidRDefault="00000000">
      <w:pPr>
        <w:pStyle w:val="ListBullet"/>
      </w:pPr>
      <w:r>
        <w:t>PatientRole</w:t>
      </w:r>
    </w:p>
    <w:p w14:paraId="63E651F5" w14:textId="77777777" w:rsidR="001922DF" w:rsidRDefault="00000000">
      <w:pPr>
        <w:pStyle w:val="ListBullet"/>
      </w:pPr>
      <w:r>
        <w:t>ClientRole</w:t>
      </w:r>
    </w:p>
    <w:p w14:paraId="15E31F6A" w14:textId="77777777" w:rsidR="001922DF" w:rsidRDefault="00000000">
      <w:pPr>
        <w:pStyle w:val="ListBullet"/>
      </w:pPr>
      <w:r>
        <w:t>ResidentRole</w:t>
      </w:r>
    </w:p>
    <w:p w14:paraId="4538DF34" w14:textId="77777777" w:rsidR="001922DF" w:rsidRDefault="00000000">
      <w:pPr>
        <w:pStyle w:val="ListBullet"/>
      </w:pPr>
      <w:r>
        <w:t>CaregiverRole</w:t>
      </w:r>
    </w:p>
    <w:p w14:paraId="31D7A27C" w14:textId="77777777" w:rsidR="001922DF" w:rsidRDefault="00000000">
      <w:pPr>
        <w:pStyle w:val="ListBullet"/>
      </w:pPr>
      <w:r>
        <w:t>BeneficiaryRole</w:t>
      </w:r>
    </w:p>
    <w:p w14:paraId="38814BA9" w14:textId="77777777" w:rsidR="001922DF" w:rsidRDefault="00000000">
      <w:r>
        <w:t>A person may simultaneously participate across multiple domains while assuming different contextual roles.</w:t>
      </w:r>
    </w:p>
    <w:p w14:paraId="5340595A" w14:textId="77777777" w:rsidR="001922DF" w:rsidRDefault="00000000">
      <w:pPr>
        <w:pStyle w:val="Heading3"/>
      </w:pPr>
      <w:r>
        <w:t>4.3 Participation-Centric Semantic Flow</w:t>
      </w:r>
    </w:p>
    <w:p w14:paraId="66B0AC0F" w14:textId="77777777" w:rsidR="001922DF" w:rsidRDefault="00000000">
      <w:r>
        <w:br/>
        <w:t>Person</w:t>
      </w:r>
      <w:r>
        <w:br/>
        <w:t xml:space="preserve">    participates through</w:t>
      </w:r>
      <w:r>
        <w:br/>
      </w:r>
      <w:r>
        <w:lastRenderedPageBreak/>
        <w:t>Participation</w:t>
      </w:r>
      <w:r>
        <w:br/>
        <w:t xml:space="preserve">    assuming</w:t>
      </w:r>
      <w:r>
        <w:br/>
        <w:t>PatientRole / ClientRole / ResidentRole</w:t>
      </w:r>
      <w:r>
        <w:br/>
        <w:t xml:space="preserve">    within</w:t>
      </w:r>
      <w:r>
        <w:br/>
        <w:t>ClinicalCareContext / HousingContext / SocialCareContext</w:t>
      </w:r>
      <w:r>
        <w:br/>
      </w:r>
    </w:p>
    <w:p w14:paraId="115345AE" w14:textId="77777777" w:rsidR="001922DF" w:rsidRDefault="00000000">
      <w:pPr>
        <w:pStyle w:val="Heading2"/>
      </w:pPr>
      <w:r>
        <w:t>5. Domain Models</w:t>
      </w:r>
    </w:p>
    <w:p w14:paraId="42A4CEB2" w14:textId="77777777" w:rsidR="001922DF" w:rsidRDefault="00000000">
      <w:r>
        <w:t>Domain Models specialize participation and core semantics for specific operational and semantic ecosystems.</w:t>
      </w:r>
    </w:p>
    <w:p w14:paraId="479A5C21" w14:textId="77777777" w:rsidR="001922DF" w:rsidRDefault="00000000">
      <w:pPr>
        <w:pStyle w:val="Heading3"/>
      </w:pPr>
      <w:r>
        <w:t>5.1 Clinical Domain</w:t>
      </w:r>
    </w:p>
    <w:p w14:paraId="07CD332F" w14:textId="77777777" w:rsidR="001922DF" w:rsidRDefault="00000000">
      <w:pPr>
        <w:pStyle w:val="ListBullet"/>
      </w:pPr>
      <w:r>
        <w:t>ClinicalEncounter</w:t>
      </w:r>
    </w:p>
    <w:p w14:paraId="663159B4" w14:textId="77777777" w:rsidR="001922DF" w:rsidRDefault="00000000">
      <w:pPr>
        <w:pStyle w:val="ListBullet"/>
      </w:pPr>
      <w:r>
        <w:t>DiagnosisStatement</w:t>
      </w:r>
    </w:p>
    <w:p w14:paraId="0E4B411C" w14:textId="77777777" w:rsidR="001922DF" w:rsidRDefault="00000000">
      <w:pPr>
        <w:pStyle w:val="ListBullet"/>
      </w:pPr>
      <w:r>
        <w:t>PatientRole</w:t>
      </w:r>
    </w:p>
    <w:p w14:paraId="780D862B" w14:textId="77777777" w:rsidR="001922DF" w:rsidRDefault="00000000">
      <w:pPr>
        <w:pStyle w:val="ListBullet"/>
      </w:pPr>
      <w:r>
        <w:t>ClinicalCareContext</w:t>
      </w:r>
    </w:p>
    <w:p w14:paraId="39E105E6" w14:textId="77777777" w:rsidR="001922DF" w:rsidRDefault="00000000">
      <w:pPr>
        <w:pStyle w:val="Heading3"/>
      </w:pPr>
      <w:r>
        <w:t>5.2 Housing Domain</w:t>
      </w:r>
    </w:p>
    <w:p w14:paraId="08AC2026" w14:textId="77777777" w:rsidR="001922DF" w:rsidRDefault="00000000">
      <w:pPr>
        <w:pStyle w:val="ListBullet"/>
      </w:pPr>
      <w:r>
        <w:t>HousingAssessment</w:t>
      </w:r>
    </w:p>
    <w:p w14:paraId="4E5A123E" w14:textId="77777777" w:rsidR="001922DF" w:rsidRDefault="00000000">
      <w:pPr>
        <w:pStyle w:val="ListBullet"/>
      </w:pPr>
      <w:r>
        <w:t>HousingEligibilityStatement</w:t>
      </w:r>
    </w:p>
    <w:p w14:paraId="707AB674" w14:textId="77777777" w:rsidR="001922DF" w:rsidRDefault="00000000">
      <w:pPr>
        <w:pStyle w:val="ListBullet"/>
      </w:pPr>
      <w:r>
        <w:t>ClientRole</w:t>
      </w:r>
    </w:p>
    <w:p w14:paraId="2EB6697E" w14:textId="77777777" w:rsidR="001922DF" w:rsidRDefault="00000000">
      <w:pPr>
        <w:pStyle w:val="ListBullet"/>
      </w:pPr>
      <w:r>
        <w:t>ResidentRole</w:t>
      </w:r>
    </w:p>
    <w:p w14:paraId="26F9C93D" w14:textId="77777777" w:rsidR="001922DF" w:rsidRDefault="00000000">
      <w:pPr>
        <w:pStyle w:val="ListBullet"/>
      </w:pPr>
      <w:r>
        <w:t>HousingEligibilityContext</w:t>
      </w:r>
    </w:p>
    <w:p w14:paraId="57A9E10E" w14:textId="77777777" w:rsidR="001922DF" w:rsidRDefault="00000000">
      <w:pPr>
        <w:pStyle w:val="Heading3"/>
      </w:pPr>
      <w:r>
        <w:t>5.3 Social Care Domain</w:t>
      </w:r>
    </w:p>
    <w:p w14:paraId="2B2BC342" w14:textId="77777777" w:rsidR="001922DF" w:rsidRDefault="00000000">
      <w:pPr>
        <w:pStyle w:val="ListBullet"/>
      </w:pPr>
      <w:r>
        <w:t>SocialCareInteraction</w:t>
      </w:r>
    </w:p>
    <w:p w14:paraId="48EE8767" w14:textId="77777777" w:rsidR="001922DF" w:rsidRDefault="00000000">
      <w:pPr>
        <w:pStyle w:val="ListBullet"/>
      </w:pPr>
      <w:r>
        <w:t>SocialCareContext</w:t>
      </w:r>
    </w:p>
    <w:p w14:paraId="01CD5EC0" w14:textId="77777777" w:rsidR="001922DF" w:rsidRDefault="00000000">
      <w:pPr>
        <w:pStyle w:val="ListBullet"/>
      </w:pPr>
      <w:r>
        <w:t>BeneficiaryRole</w:t>
      </w:r>
    </w:p>
    <w:p w14:paraId="3EB8A78B" w14:textId="77777777" w:rsidR="001922DF" w:rsidRDefault="00000000">
      <w:pPr>
        <w:pStyle w:val="ListBullet"/>
      </w:pPr>
      <w:r>
        <w:t>CareCoordinationStatement</w:t>
      </w:r>
    </w:p>
    <w:p w14:paraId="4D005764" w14:textId="77777777" w:rsidR="001922DF" w:rsidRDefault="00000000">
      <w:pPr>
        <w:pStyle w:val="Heading2"/>
      </w:pPr>
      <w:r>
        <w:t>6. Parallel Semantic Evolution</w:t>
      </w:r>
    </w:p>
    <w:p w14:paraId="21256448" w14:textId="77777777" w:rsidR="001922DF" w:rsidRDefault="00000000">
      <w:r>
        <w:t>The UCM supports independently evolvable semantic modules through stable core semantic primitives.</w:t>
      </w:r>
    </w:p>
    <w:p w14:paraId="3284E68A" w14:textId="77777777" w:rsidR="001922DF" w:rsidRDefault="00000000">
      <w:pPr>
        <w:pStyle w:val="ListBullet"/>
      </w:pPr>
      <w:r>
        <w:t>Core semantic primitives evolve slowly and carefully</w:t>
      </w:r>
    </w:p>
    <w:p w14:paraId="2F8D0171" w14:textId="77777777" w:rsidR="001922DF" w:rsidRDefault="00000000">
      <w:pPr>
        <w:pStyle w:val="ListBullet"/>
      </w:pPr>
      <w:r>
        <w:t>Participation semantics are reusable across domains</w:t>
      </w:r>
    </w:p>
    <w:p w14:paraId="4F7D2690" w14:textId="77777777" w:rsidR="001922DF" w:rsidRDefault="00000000">
      <w:pPr>
        <w:pStyle w:val="ListBullet"/>
      </w:pPr>
      <w:r>
        <w:t>Domain semantic modules evolve independently</w:t>
      </w:r>
    </w:p>
    <w:p w14:paraId="31D3EAE1" w14:textId="77777777" w:rsidR="001922DF" w:rsidRDefault="00000000">
      <w:pPr>
        <w:pStyle w:val="Heading2"/>
      </w:pPr>
      <w:r>
        <w:t>7. Interoperability Principles</w:t>
      </w:r>
    </w:p>
    <w:p w14:paraId="29E68C29" w14:textId="64248551" w:rsidR="001922DF" w:rsidRDefault="00000000">
      <w:pPr>
        <w:pStyle w:val="ListBullet"/>
      </w:pPr>
      <w:r>
        <w:t>The UCM interoperates with operational ecosystems rather than depending on them ontologically</w:t>
      </w:r>
    </w:p>
    <w:p w14:paraId="0C9BD33F" w14:textId="1305E4BB" w:rsidR="001922DF" w:rsidRDefault="00000000">
      <w:pPr>
        <w:pStyle w:val="ListBullet"/>
      </w:pPr>
      <w:r>
        <w:t>FHIR, HL7 v2, CDA, and HMIS are treated as external operational ecosystems</w:t>
      </w:r>
    </w:p>
    <w:p w14:paraId="5103BCE7" w14:textId="77777777" w:rsidR="001922DF" w:rsidRDefault="00000000">
      <w:pPr>
        <w:pStyle w:val="ListBullet"/>
      </w:pPr>
      <w:r>
        <w:t>Semantic mappings preserve semantic normalization and interoperability independence</w:t>
      </w:r>
    </w:p>
    <w:p w14:paraId="1772B96B" w14:textId="77777777" w:rsidR="001922DF" w:rsidRDefault="00000000">
      <w:pPr>
        <w:pStyle w:val="ListBullet"/>
      </w:pPr>
      <w:r>
        <w:lastRenderedPageBreak/>
        <w:t>Operational interoperability and semantic normalization remain separate architectural concerns</w:t>
      </w:r>
    </w:p>
    <w:p w14:paraId="27400CFF" w14:textId="77777777" w:rsidR="001922DF" w:rsidRDefault="00000000">
      <w:pPr>
        <w:pStyle w:val="Heading2"/>
      </w:pPr>
      <w:r>
        <w:t>8. AI, NLP, and Semantic Reasoning</w:t>
      </w:r>
    </w:p>
    <w:p w14:paraId="5F3F6548" w14:textId="77777777" w:rsidR="001922DF" w:rsidRDefault="00000000">
      <w:r>
        <w:t>The UCM semantic separation architecture supports explainable AI, NLP processing, semantic reasoning, semantic federation, and split-learning architectures.</w:t>
      </w:r>
    </w:p>
    <w:p w14:paraId="1E1D6269" w14:textId="77777777" w:rsidR="001922DF" w:rsidRDefault="00000000">
      <w:pPr>
        <w:pStyle w:val="ListBullet"/>
      </w:pPr>
      <w:r>
        <w:t>Knowledge graph generation</w:t>
      </w:r>
    </w:p>
    <w:p w14:paraId="68551528" w14:textId="77777777" w:rsidR="001922DF" w:rsidRDefault="00000000">
      <w:pPr>
        <w:pStyle w:val="ListBullet"/>
      </w:pPr>
      <w:r>
        <w:t>Inference and reasoning</w:t>
      </w:r>
    </w:p>
    <w:p w14:paraId="23199685" w14:textId="77777777" w:rsidR="001922DF" w:rsidRDefault="00000000">
      <w:pPr>
        <w:pStyle w:val="ListBullet"/>
      </w:pPr>
      <w:r>
        <w:t>Semantic feature engineering</w:t>
      </w:r>
    </w:p>
    <w:p w14:paraId="27B030E1" w14:textId="77777777" w:rsidR="001922DF" w:rsidRDefault="00000000">
      <w:pPr>
        <w:pStyle w:val="ListBullet"/>
      </w:pPr>
      <w:r>
        <w:t>Longitudinal care reasoning</w:t>
      </w:r>
    </w:p>
    <w:p w14:paraId="2D4FE2EF" w14:textId="77777777" w:rsidR="001922DF" w:rsidRDefault="00000000">
      <w:pPr>
        <w:pStyle w:val="ListBullet"/>
      </w:pPr>
      <w:r>
        <w:t>Semantic orchestration</w:t>
      </w:r>
    </w:p>
    <w:p w14:paraId="6CC1B154" w14:textId="77777777" w:rsidR="001922DF" w:rsidRDefault="00000000">
      <w:pPr>
        <w:pStyle w:val="ListBullet"/>
      </w:pPr>
      <w:r>
        <w:t>Evidence scoring</w:t>
      </w:r>
    </w:p>
    <w:p w14:paraId="5DBCE0CB" w14:textId="77777777" w:rsidR="001922DF" w:rsidRDefault="00000000">
      <w:pPr>
        <w:pStyle w:val="ListBullet"/>
      </w:pPr>
      <w:r>
        <w:t>Explainable semantic inference</w:t>
      </w:r>
    </w:p>
    <w:p w14:paraId="3208C08F" w14:textId="77777777" w:rsidR="001922DF" w:rsidRDefault="00000000">
      <w:pPr>
        <w:pStyle w:val="Heading2"/>
      </w:pPr>
      <w:r>
        <w:t>9. Communication and Visualization Principles</w:t>
      </w:r>
    </w:p>
    <w:p w14:paraId="14D00E9C" w14:textId="77777777" w:rsidR="001922DF" w:rsidRDefault="00000000">
      <w:pPr>
        <w:pStyle w:val="ListBullet"/>
      </w:pPr>
      <w:r>
        <w:t>Layered semantic architecture views</w:t>
      </w:r>
    </w:p>
    <w:p w14:paraId="0CCD364A" w14:textId="77777777" w:rsidR="001922DF" w:rsidRDefault="00000000">
      <w:pPr>
        <w:pStyle w:val="ListBullet"/>
      </w:pPr>
      <w:r>
        <w:t>Participation-centric semantic flows</w:t>
      </w:r>
    </w:p>
    <w:p w14:paraId="37A87087" w14:textId="77777777" w:rsidR="001922DF" w:rsidRDefault="00000000">
      <w:pPr>
        <w:pStyle w:val="ListBullet"/>
      </w:pPr>
      <w:r>
        <w:t>Cross-domain participation views</w:t>
      </w:r>
    </w:p>
    <w:p w14:paraId="53F1B4FF" w14:textId="77777777" w:rsidR="001922DF" w:rsidRDefault="00000000">
      <w:pPr>
        <w:pStyle w:val="ListBullet"/>
      </w:pPr>
      <w:r>
        <w:t>Semantic separation diagrams</w:t>
      </w:r>
    </w:p>
    <w:p w14:paraId="7AB97F30" w14:textId="77777777" w:rsidR="001922DF" w:rsidRDefault="00000000">
      <w:pPr>
        <w:pStyle w:val="ListBullet"/>
      </w:pPr>
      <w:r>
        <w:t>Domain specialization views</w:t>
      </w:r>
    </w:p>
    <w:p w14:paraId="39514B80" w14:textId="77777777" w:rsidR="001922DF" w:rsidRDefault="00000000">
      <w:r>
        <w:t>The UCM should be communicated through layered semantic architecture and participation-oriented visualizations rather than low-level OWL class trees.</w:t>
      </w:r>
    </w:p>
    <w:p w14:paraId="7ECA3919" w14:textId="77777777" w:rsidR="001922DF" w:rsidRDefault="00000000">
      <w:pPr>
        <w:pStyle w:val="Heading2"/>
      </w:pPr>
      <w:r>
        <w:t>10. Conclusion</w:t>
      </w:r>
    </w:p>
    <w:p w14:paraId="2EFD7EDA" w14:textId="77777777" w:rsidR="001922DF" w:rsidRDefault="00000000">
      <w:r>
        <w:t>The UCM is a reusable semantic participation and logical information abstraction architecture designed to support whole-person interoperability, semantic normalization, AI reasoning, cross-domain coordination, and semantic federation.</w:t>
      </w:r>
    </w:p>
    <w:p w14:paraId="4DF833F5" w14:textId="77777777" w:rsidR="001922DF" w:rsidRDefault="00000000">
      <w:r>
        <w:t>Its layered architecture enables stable semantic governance while supporting independent domain evolution, reusable participation semantics, and operational interoperability.</w:t>
      </w:r>
    </w:p>
    <w:sectPr w:rsidR="001922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0395692">
    <w:abstractNumId w:val="8"/>
  </w:num>
  <w:num w:numId="2" w16cid:durableId="2039814811">
    <w:abstractNumId w:val="6"/>
  </w:num>
  <w:num w:numId="3" w16cid:durableId="493566579">
    <w:abstractNumId w:val="5"/>
  </w:num>
  <w:num w:numId="4" w16cid:durableId="246306355">
    <w:abstractNumId w:val="4"/>
  </w:num>
  <w:num w:numId="5" w16cid:durableId="241065364">
    <w:abstractNumId w:val="7"/>
  </w:num>
  <w:num w:numId="6" w16cid:durableId="1233346363">
    <w:abstractNumId w:val="3"/>
  </w:num>
  <w:num w:numId="7" w16cid:durableId="2022581815">
    <w:abstractNumId w:val="2"/>
  </w:num>
  <w:num w:numId="8" w16cid:durableId="236718539">
    <w:abstractNumId w:val="1"/>
  </w:num>
  <w:num w:numId="9" w16cid:durableId="751392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22DF"/>
    <w:rsid w:val="0029639D"/>
    <w:rsid w:val="00326F90"/>
    <w:rsid w:val="005A67E4"/>
    <w:rsid w:val="006868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571264"/>
  <w14:defaultImageDpi w14:val="300"/>
  <w15:docId w15:val="{5FE619A2-9D10-4403-AA13-E8B99C8C6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664</Words>
  <Characters>5272</Characters>
  <Application>Microsoft Office Word</Application>
  <DocSecurity>0</DocSecurity>
  <Lines>150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 Lord</cp:lastModifiedBy>
  <cp:revision>2</cp:revision>
  <dcterms:created xsi:type="dcterms:W3CDTF">2026-05-28T12:16:00Z</dcterms:created>
  <dcterms:modified xsi:type="dcterms:W3CDTF">2026-05-28T12:16:00Z</dcterms:modified>
  <cp:category/>
</cp:coreProperties>
</file>