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89190" w14:textId="77777777" w:rsidR="00E21DF3" w:rsidRDefault="00000000">
      <w:pPr>
        <w:pStyle w:val="Title"/>
      </w:pPr>
      <w:r>
        <w:t>Unified Care Model (UCM)</w:t>
      </w:r>
      <w:r>
        <w:br/>
      </w:r>
      <w:r>
        <w:rPr>
          <w:sz w:val="34"/>
        </w:rPr>
        <w:t>Updated Design Principles</w:t>
      </w:r>
    </w:p>
    <w:p w14:paraId="7B25166E" w14:textId="77777777" w:rsidR="00E21DF3" w:rsidRDefault="00000000">
      <w:r>
        <w:rPr>
          <w:b/>
        </w:rPr>
        <w:t xml:space="preserve">Purpose. </w:t>
      </w:r>
      <w:r>
        <w:t>This revision updates the design-principles document to reflect the current UCM, including its SULO/BFO grounding, role-based subject model, separation of domain terminology, and the new treatment of groups such as families and households as possible subjects of processes.</w:t>
      </w:r>
    </w:p>
    <w:tbl>
      <w:tblPr>
        <w:tblW w:w="0" w:type="auto"/>
        <w:tblLook w:val="04A0" w:firstRow="1" w:lastRow="0" w:firstColumn="1" w:lastColumn="0" w:noHBand="0" w:noVBand="1"/>
      </w:tblPr>
      <w:tblGrid>
        <w:gridCol w:w="9792"/>
      </w:tblGrid>
      <w:tr w:rsidR="00E21DF3" w14:paraId="4CC79A75" w14:textId="77777777">
        <w:tc>
          <w:tcPr>
            <w:tcW w:w="9792" w:type="dxa"/>
            <w:shd w:val="clear" w:color="auto" w:fill="EEF5FC"/>
            <w:tcMar>
              <w:top w:w="110" w:type="dxa"/>
              <w:left w:w="130" w:type="dxa"/>
              <w:bottom w:w="110" w:type="dxa"/>
              <w:right w:w="130" w:type="dxa"/>
            </w:tcMar>
          </w:tcPr>
          <w:p w14:paraId="58DA60FC" w14:textId="77777777" w:rsidR="00E21DF3" w:rsidRDefault="00000000">
            <w:pPr>
              <w:spacing w:after="0"/>
            </w:pPr>
            <w:r>
              <w:rPr>
                <w:b/>
              </w:rPr>
              <w:t xml:space="preserve">Key modeling shift: </w:t>
            </w:r>
            <w:r>
              <w:t xml:space="preserve">the UCM now distinguishes a neutral </w:t>
            </w:r>
            <w:r>
              <w:rPr>
                <w:i/>
              </w:rPr>
              <w:t>SubjectRole</w:t>
            </w:r>
            <w:r>
              <w:t xml:space="preserve"> from domain-specific role labels such as </w:t>
            </w:r>
            <w:r>
              <w:rPr>
                <w:i/>
              </w:rPr>
              <w:t>PatientRole</w:t>
            </w:r>
            <w:r>
              <w:t xml:space="preserve">, </w:t>
            </w:r>
            <w:r>
              <w:rPr>
                <w:i/>
              </w:rPr>
              <w:t>ClientRole</w:t>
            </w:r>
            <w:r>
              <w:t xml:space="preserve">, </w:t>
            </w:r>
            <w:r>
              <w:rPr>
                <w:i/>
              </w:rPr>
              <w:t>MemberRole</w:t>
            </w:r>
            <w:r>
              <w:t>, and allows both persons and groups to function as subjects in care and administrative contexts.</w:t>
            </w:r>
          </w:p>
        </w:tc>
      </w:tr>
    </w:tbl>
    <w:p w14:paraId="207D5E76" w14:textId="77777777" w:rsidR="00E21DF3" w:rsidRDefault="00E21DF3"/>
    <w:p w14:paraId="049D9430" w14:textId="77777777" w:rsidR="00E21DF3" w:rsidRDefault="00000000">
      <w:pPr>
        <w:pStyle w:val="Heading1"/>
      </w:pPr>
      <w:r>
        <w:t>Design principles</w:t>
      </w:r>
    </w:p>
    <w:p w14:paraId="2C4A9535" w14:textId="77777777" w:rsidR="00E21DF3" w:rsidRDefault="00000000">
      <w:pPr>
        <w:pStyle w:val="Heading2"/>
      </w:pPr>
      <w:r>
        <w:t>1. Foundational ontology alignment</w:t>
      </w:r>
    </w:p>
    <w:p w14:paraId="444AECB1" w14:textId="77777777" w:rsidR="00E21DF3" w:rsidRDefault="00000000">
      <w:r>
        <w:t>The UCM is grounded in SULO and aligned to BFO. Core distinctions such as physical entity, information entity, role, and process are inherited from this upper-level foundation so that the model remains logically coherent, reusable, and interoperable across clinical, social, and administrative domains.</w:t>
      </w:r>
    </w:p>
    <w:p w14:paraId="0967255C" w14:textId="77777777" w:rsidR="00E21DF3" w:rsidRDefault="00000000">
      <w:pPr>
        <w:pStyle w:val="Heading2"/>
      </w:pPr>
      <w:r>
        <w:t>2. Role-based identity</w:t>
      </w:r>
    </w:p>
    <w:p w14:paraId="5510F2D8" w14:textId="77777777" w:rsidR="00E21DF3" w:rsidRDefault="00000000">
      <w:r>
        <w:t>Contextual identities are modeled as roles rather than as primitive human types. A person becomes a patient, client, member, provider, payer, or requester by bearing the corresponding role in an appropriate context.</w:t>
      </w:r>
    </w:p>
    <w:p w14:paraId="064119B2" w14:textId="77777777" w:rsidR="00E21DF3" w:rsidRDefault="00000000">
      <w:pPr>
        <w:pStyle w:val="Heading2"/>
      </w:pPr>
      <w:r>
        <w:t>3. Separation of semantic role from domain terminology</w:t>
      </w:r>
    </w:p>
    <w:p w14:paraId="0A83713F" w14:textId="77777777" w:rsidR="00E21DF3" w:rsidRDefault="00000000">
      <w:r>
        <w:t>The model uses a neutral abstraction, SubjectRole, for the general idea of being the focus or recipient of an activity, observation, or administrative process. Domain-specific terms such as patient, client, and member are retained as distinct subroles so the model can preserve source semantics rather than collapsing them into a single label.</w:t>
      </w:r>
    </w:p>
    <w:p w14:paraId="6F9C3E79" w14:textId="77777777" w:rsidR="00E21DF3" w:rsidRDefault="00000000">
      <w:pPr>
        <w:pStyle w:val="Heading2"/>
      </w:pPr>
      <w:r>
        <w:t>4. Support for both individual and collective subjects</w:t>
      </w:r>
    </w:p>
    <w:p w14:paraId="581597D3" w14:textId="77777777" w:rsidR="00E21DF3" w:rsidRDefault="00000000">
      <w:r>
        <w:t>The UCM recognizes that the subject of a process may be an individual person or a group treated as a unit. Families, households, and other groups may therefore bear subject roles and be the focus of provisioning, assessment, eligibility, or authorization processes.</w:t>
      </w:r>
    </w:p>
    <w:p w14:paraId="4F6E5AD5" w14:textId="77777777" w:rsidR="00E21DF3" w:rsidRDefault="00000000">
      <w:pPr>
        <w:pStyle w:val="Heading2"/>
      </w:pPr>
      <w:r>
        <w:t>5. Distinction between participation and membership</w:t>
      </w:r>
    </w:p>
    <w:p w14:paraId="579F8DC5" w14:textId="77777777" w:rsidR="00E21DF3" w:rsidRDefault="00000000">
      <w:r>
        <w:t>The model distinguishes involvement in a process from structural belonging to a group. Participation captures who takes part in an occurrent and in what role; membership captures who belongs to a family, household, or other collective subject. These are related but not interchangeable patterns.</w:t>
      </w:r>
    </w:p>
    <w:p w14:paraId="1F0EAA17" w14:textId="77777777" w:rsidR="00E21DF3" w:rsidRDefault="00000000">
      <w:pPr>
        <w:pStyle w:val="Heading2"/>
      </w:pPr>
      <w:r>
        <w:t>6. Contextual participation</w:t>
      </w:r>
    </w:p>
    <w:p w14:paraId="10A000EF" w14:textId="77777777" w:rsidR="00E21DF3" w:rsidRDefault="00000000">
      <w:r>
        <w:t>Participation is modeled explicitly so that an actor, the role they bear in that context, and the process in which they are involved can all be represented together. This allows the same person or group to appear in different roles across different processes without changing their underlying identity.</w:t>
      </w:r>
    </w:p>
    <w:p w14:paraId="65509CBA" w14:textId="77777777" w:rsidR="00E21DF3" w:rsidRDefault="00000000">
      <w:pPr>
        <w:pStyle w:val="Heading2"/>
      </w:pPr>
      <w:r>
        <w:lastRenderedPageBreak/>
        <w:t>7. Domain decoupling with cross-domain reuse</w:t>
      </w:r>
    </w:p>
    <w:p w14:paraId="6099657C" w14:textId="77777777" w:rsidR="00E21DF3" w:rsidRDefault="00000000">
      <w:r>
        <w:t>Clinical care, social care, public health, and administrative activities are represented as distinct domains, while still sharing common abstractions such as process, condition, subject, role, and participation. This supports interoperability without forcing all domains into a clinical vocabulary.</w:t>
      </w:r>
    </w:p>
    <w:p w14:paraId="77D71EAF" w14:textId="77777777" w:rsidR="00E21DF3" w:rsidRDefault="00000000">
      <w:pPr>
        <w:pStyle w:val="Heading2"/>
      </w:pPr>
      <w:r>
        <w:t>8. Policy and regulatory sensitivity</w:t>
      </w:r>
    </w:p>
    <w:p w14:paraId="12C11B36" w14:textId="77777777" w:rsidR="00E21DF3" w:rsidRDefault="00000000">
      <w:r>
        <w:t>Domain-specific role labels are preserved because they may trigger different privacy, consent, disclosure, and governance requirements. For example, patient, client, and member may refer to similar functional positions while carrying materially different regulatory implications.</w:t>
      </w:r>
    </w:p>
    <w:p w14:paraId="153D8F02" w14:textId="77777777" w:rsidR="00E21DF3" w:rsidRDefault="00000000">
      <w:pPr>
        <w:pStyle w:val="Heading2"/>
      </w:pPr>
      <w:r>
        <w:t>9. Descriptive text separated from logical commitment</w:t>
      </w:r>
    </w:p>
    <w:p w14:paraId="75A3EF87" w14:textId="77777777" w:rsidR="00E21DF3" w:rsidRDefault="00000000">
      <w:r>
        <w:t>Natural-language definitions may narrow or clarify intended use, but they do not change ontology behavior unless formal axioms are added. This lets the model document intended interpretation without over-constraining it prematurely.</w:t>
      </w:r>
    </w:p>
    <w:p w14:paraId="2D2909E7" w14:textId="77777777" w:rsidR="00E21DF3" w:rsidRDefault="00000000">
      <w:pPr>
        <w:pStyle w:val="Heading2"/>
      </w:pPr>
      <w:r>
        <w:t>10. Non-destructive extension</w:t>
      </w:r>
    </w:p>
    <w:p w14:paraId="1A6DA023" w14:textId="77777777" w:rsidR="00E21DF3" w:rsidRDefault="00000000">
      <w:r>
        <w:t>New capabilities are added by extension and refactoring rather than by breaking existing core structures. This keeps the UCM stable over time while allowing new domains, roles, and subject patterns to be incorporated.</w:t>
      </w:r>
    </w:p>
    <w:p w14:paraId="7AA5218C" w14:textId="77777777" w:rsidR="00E21DF3" w:rsidRDefault="00000000">
      <w:pPr>
        <w:pStyle w:val="Heading2"/>
      </w:pPr>
      <w:r>
        <w:t>11. Interoperability abstraction</w:t>
      </w:r>
    </w:p>
    <w:p w14:paraId="2C04F8F6" w14:textId="77777777" w:rsidR="00E21DF3" w:rsidRDefault="00000000">
      <w:r>
        <w:t>External data models such as FHIR, HL7 v2, and HUD-aligned data structures are mapped to shared UCM abstractions without erasing their terminology. This supports crosswalks and semantic harmonization while preserving source-specific distinctions.</w:t>
      </w:r>
    </w:p>
    <w:p w14:paraId="55CFCE02" w14:textId="77777777" w:rsidR="00E21DF3" w:rsidRDefault="00000000">
      <w:pPr>
        <w:pStyle w:val="Heading2"/>
      </w:pPr>
      <w:r>
        <w:t>12. Governance-ready semantics</w:t>
      </w:r>
    </w:p>
    <w:p w14:paraId="201EF7FF" w14:textId="77777777" w:rsidR="00E21DF3" w:rsidRDefault="00000000">
      <w:r>
        <w:t>The model is intended to support lifecycle management, mapping governance, search/discovery layers, and policy-aware reuse. Design choices are made not only for logical cleanliness but also for long-term maintainability and operational use.</w:t>
      </w:r>
    </w:p>
    <w:p w14:paraId="5F1CC03C" w14:textId="77777777" w:rsidR="00E21DF3" w:rsidRDefault="00000000">
      <w:pPr>
        <w:pStyle w:val="Heading1"/>
      </w:pPr>
      <w:r>
        <w:t>Implications for the current UCM</w:t>
      </w:r>
    </w:p>
    <w:tbl>
      <w:tblPr>
        <w:tblStyle w:val="TableGrid"/>
        <w:tblW w:w="0" w:type="auto"/>
        <w:tblLayout w:type="fixed"/>
        <w:tblLook w:val="04A0" w:firstRow="1" w:lastRow="0" w:firstColumn="1" w:lastColumn="0" w:noHBand="0" w:noVBand="1"/>
      </w:tblPr>
      <w:tblGrid>
        <w:gridCol w:w="3264"/>
        <w:gridCol w:w="3264"/>
        <w:gridCol w:w="3672"/>
      </w:tblGrid>
      <w:tr w:rsidR="00E21DF3" w14:paraId="16B931D3" w14:textId="77777777">
        <w:tc>
          <w:tcPr>
            <w:tcW w:w="3264" w:type="dxa"/>
            <w:shd w:val="clear" w:color="auto" w:fill="D9EAF7"/>
            <w:tcMar>
              <w:top w:w="80" w:type="dxa"/>
              <w:left w:w="100" w:type="dxa"/>
              <w:bottom w:w="80" w:type="dxa"/>
              <w:right w:w="100" w:type="dxa"/>
            </w:tcMar>
          </w:tcPr>
          <w:p w14:paraId="6D07AC63" w14:textId="77777777" w:rsidR="00E21DF3" w:rsidRDefault="00000000">
            <w:pPr>
              <w:spacing w:after="40"/>
            </w:pPr>
            <w:r>
              <w:rPr>
                <w:b/>
                <w:color w:val="1F4E79"/>
                <w:sz w:val="19"/>
              </w:rPr>
              <w:t>Model area</w:t>
            </w:r>
          </w:p>
        </w:tc>
        <w:tc>
          <w:tcPr>
            <w:tcW w:w="3264" w:type="dxa"/>
            <w:shd w:val="clear" w:color="auto" w:fill="D9EAF7"/>
            <w:tcMar>
              <w:top w:w="80" w:type="dxa"/>
              <w:left w:w="100" w:type="dxa"/>
              <w:bottom w:w="80" w:type="dxa"/>
              <w:right w:w="100" w:type="dxa"/>
            </w:tcMar>
          </w:tcPr>
          <w:p w14:paraId="5A6D5610" w14:textId="77777777" w:rsidR="00E21DF3" w:rsidRDefault="00000000">
            <w:pPr>
              <w:spacing w:after="40"/>
            </w:pPr>
            <w:r>
              <w:rPr>
                <w:b/>
                <w:color w:val="1F4E79"/>
                <w:sz w:val="19"/>
              </w:rPr>
              <w:t>Current treatment</w:t>
            </w:r>
          </w:p>
        </w:tc>
        <w:tc>
          <w:tcPr>
            <w:tcW w:w="3264" w:type="dxa"/>
            <w:shd w:val="clear" w:color="auto" w:fill="D9EAF7"/>
            <w:tcMar>
              <w:top w:w="80" w:type="dxa"/>
              <w:left w:w="100" w:type="dxa"/>
              <w:bottom w:w="80" w:type="dxa"/>
              <w:right w:w="100" w:type="dxa"/>
            </w:tcMar>
          </w:tcPr>
          <w:p w14:paraId="2F8B86A5" w14:textId="77777777" w:rsidR="00E21DF3" w:rsidRDefault="00000000">
            <w:pPr>
              <w:spacing w:after="40"/>
            </w:pPr>
            <w:r>
              <w:rPr>
                <w:b/>
                <w:color w:val="1F4E79"/>
                <w:sz w:val="19"/>
              </w:rPr>
              <w:t>Design implication</w:t>
            </w:r>
          </w:p>
        </w:tc>
      </w:tr>
      <w:tr w:rsidR="00E21DF3" w14:paraId="10374963" w14:textId="77777777">
        <w:tc>
          <w:tcPr>
            <w:tcW w:w="3024" w:type="dxa"/>
            <w:tcMar>
              <w:top w:w="80" w:type="dxa"/>
              <w:left w:w="100" w:type="dxa"/>
              <w:bottom w:w="80" w:type="dxa"/>
              <w:right w:w="100" w:type="dxa"/>
            </w:tcMar>
          </w:tcPr>
          <w:p w14:paraId="59B922E0" w14:textId="77777777" w:rsidR="00E21DF3" w:rsidRDefault="00000000">
            <w:pPr>
              <w:spacing w:after="40"/>
            </w:pPr>
            <w:r>
              <w:rPr>
                <w:sz w:val="19"/>
              </w:rPr>
              <w:t>Foundational classes</w:t>
            </w:r>
          </w:p>
        </w:tc>
        <w:tc>
          <w:tcPr>
            <w:tcW w:w="3240" w:type="dxa"/>
            <w:tcMar>
              <w:top w:w="80" w:type="dxa"/>
              <w:left w:w="100" w:type="dxa"/>
              <w:bottom w:w="80" w:type="dxa"/>
              <w:right w:w="100" w:type="dxa"/>
            </w:tcMar>
          </w:tcPr>
          <w:p w14:paraId="2E7BC032" w14:textId="77777777" w:rsidR="00E21DF3" w:rsidRDefault="00000000">
            <w:pPr>
              <w:spacing w:after="40"/>
            </w:pPr>
            <w:r>
              <w:rPr>
                <w:sz w:val="19"/>
              </w:rPr>
              <w:t>PhysicalEntity, InformationalEntity, ActorRole, and Process remain aligned to SULO/BFO.</w:t>
            </w:r>
          </w:p>
        </w:tc>
        <w:tc>
          <w:tcPr>
            <w:tcW w:w="3672" w:type="dxa"/>
            <w:tcMar>
              <w:top w:w="80" w:type="dxa"/>
              <w:left w:w="100" w:type="dxa"/>
              <w:bottom w:w="80" w:type="dxa"/>
              <w:right w:w="100" w:type="dxa"/>
            </w:tcMar>
          </w:tcPr>
          <w:p w14:paraId="5C890951" w14:textId="77777777" w:rsidR="00E21DF3" w:rsidRDefault="00000000">
            <w:pPr>
              <w:spacing w:after="40"/>
            </w:pPr>
            <w:r>
              <w:rPr>
                <w:sz w:val="19"/>
              </w:rPr>
              <w:t>The UCM should continue to express new classes by subclassing these foundations rather than inventing disconnected local primitives.</w:t>
            </w:r>
          </w:p>
        </w:tc>
      </w:tr>
      <w:tr w:rsidR="00E21DF3" w14:paraId="594AB044" w14:textId="77777777">
        <w:tc>
          <w:tcPr>
            <w:tcW w:w="3024" w:type="dxa"/>
            <w:tcMar>
              <w:top w:w="80" w:type="dxa"/>
              <w:left w:w="100" w:type="dxa"/>
              <w:bottom w:w="80" w:type="dxa"/>
              <w:right w:w="100" w:type="dxa"/>
            </w:tcMar>
          </w:tcPr>
          <w:p w14:paraId="34071017" w14:textId="77777777" w:rsidR="00E21DF3" w:rsidRDefault="00000000">
            <w:pPr>
              <w:spacing w:after="40"/>
            </w:pPr>
            <w:r>
              <w:rPr>
                <w:sz w:val="19"/>
              </w:rPr>
              <w:t>Subject hierarchy</w:t>
            </w:r>
          </w:p>
        </w:tc>
        <w:tc>
          <w:tcPr>
            <w:tcW w:w="3240" w:type="dxa"/>
            <w:tcMar>
              <w:top w:w="80" w:type="dxa"/>
              <w:left w:w="100" w:type="dxa"/>
              <w:bottom w:w="80" w:type="dxa"/>
              <w:right w:w="100" w:type="dxa"/>
            </w:tcMar>
          </w:tcPr>
          <w:p w14:paraId="0E0113E1" w14:textId="77777777" w:rsidR="00E21DF3" w:rsidRDefault="00000000">
            <w:pPr>
              <w:spacing w:after="40"/>
            </w:pPr>
            <w:r>
              <w:rPr>
                <w:sz w:val="19"/>
              </w:rPr>
              <w:t>SubjectRole now serves as the neutral superclass of PatientRole, ClientRole, and MemberRole.</w:t>
            </w:r>
          </w:p>
        </w:tc>
        <w:tc>
          <w:tcPr>
            <w:tcW w:w="3672" w:type="dxa"/>
            <w:tcMar>
              <w:top w:w="80" w:type="dxa"/>
              <w:left w:w="100" w:type="dxa"/>
              <w:bottom w:w="80" w:type="dxa"/>
              <w:right w:w="100" w:type="dxa"/>
            </w:tcMar>
          </w:tcPr>
          <w:p w14:paraId="5A646A31" w14:textId="77777777" w:rsidR="00E21DF3" w:rsidRDefault="00000000">
            <w:pPr>
              <w:spacing w:after="40"/>
            </w:pPr>
            <w:r>
              <w:rPr>
                <w:sz w:val="19"/>
              </w:rPr>
              <w:t>Mappings from source systems should choose the specific domain role where known, while still allowing cross-domain reasoning through SubjectRole.</w:t>
            </w:r>
          </w:p>
        </w:tc>
      </w:tr>
      <w:tr w:rsidR="00E21DF3" w14:paraId="10D21810" w14:textId="77777777">
        <w:tc>
          <w:tcPr>
            <w:tcW w:w="3024" w:type="dxa"/>
            <w:tcMar>
              <w:top w:w="80" w:type="dxa"/>
              <w:left w:w="100" w:type="dxa"/>
              <w:bottom w:w="80" w:type="dxa"/>
              <w:right w:w="100" w:type="dxa"/>
            </w:tcMar>
          </w:tcPr>
          <w:p w14:paraId="21591212" w14:textId="77777777" w:rsidR="00E21DF3" w:rsidRDefault="00000000">
            <w:pPr>
              <w:spacing w:after="40"/>
            </w:pPr>
            <w:r>
              <w:rPr>
                <w:sz w:val="19"/>
              </w:rPr>
              <w:t>Patient</w:t>
            </w:r>
          </w:p>
        </w:tc>
        <w:tc>
          <w:tcPr>
            <w:tcW w:w="3240" w:type="dxa"/>
            <w:tcMar>
              <w:top w:w="80" w:type="dxa"/>
              <w:left w:w="100" w:type="dxa"/>
              <w:bottom w:w="80" w:type="dxa"/>
              <w:right w:w="100" w:type="dxa"/>
            </w:tcMar>
          </w:tcPr>
          <w:p w14:paraId="71170F8F" w14:textId="77777777" w:rsidR="00E21DF3" w:rsidRDefault="00000000">
            <w:pPr>
              <w:spacing w:after="40"/>
            </w:pPr>
            <w:r>
              <w:rPr>
                <w:sz w:val="19"/>
              </w:rPr>
              <w:t>Patient is modeled as a role-based classification of Person.</w:t>
            </w:r>
          </w:p>
        </w:tc>
        <w:tc>
          <w:tcPr>
            <w:tcW w:w="3672" w:type="dxa"/>
            <w:tcMar>
              <w:top w:w="80" w:type="dxa"/>
              <w:left w:w="100" w:type="dxa"/>
              <w:bottom w:w="80" w:type="dxa"/>
              <w:right w:w="100" w:type="dxa"/>
            </w:tcMar>
          </w:tcPr>
          <w:p w14:paraId="1CBCC4AE" w14:textId="77777777" w:rsidR="00E21DF3" w:rsidRDefault="00000000">
            <w:pPr>
              <w:spacing w:after="40"/>
            </w:pPr>
            <w:r>
              <w:rPr>
                <w:sz w:val="19"/>
              </w:rPr>
              <w:t>The term patient stays available for clinical contexts without becoming the universal label for all care subjects.</w:t>
            </w:r>
          </w:p>
        </w:tc>
      </w:tr>
      <w:tr w:rsidR="00E21DF3" w14:paraId="2BE89108" w14:textId="77777777">
        <w:tc>
          <w:tcPr>
            <w:tcW w:w="3024" w:type="dxa"/>
            <w:tcMar>
              <w:top w:w="80" w:type="dxa"/>
              <w:left w:w="100" w:type="dxa"/>
              <w:bottom w:w="80" w:type="dxa"/>
              <w:right w:w="100" w:type="dxa"/>
            </w:tcMar>
          </w:tcPr>
          <w:p w14:paraId="66F1D0E9" w14:textId="77777777" w:rsidR="00E21DF3" w:rsidRDefault="00000000">
            <w:pPr>
              <w:spacing w:after="40"/>
            </w:pPr>
            <w:r>
              <w:rPr>
                <w:sz w:val="19"/>
              </w:rPr>
              <w:t>Groups</w:t>
            </w:r>
          </w:p>
        </w:tc>
        <w:tc>
          <w:tcPr>
            <w:tcW w:w="3240" w:type="dxa"/>
            <w:tcMar>
              <w:top w:w="80" w:type="dxa"/>
              <w:left w:w="100" w:type="dxa"/>
              <w:bottom w:w="80" w:type="dxa"/>
              <w:right w:w="100" w:type="dxa"/>
            </w:tcMar>
          </w:tcPr>
          <w:p w14:paraId="65E87633" w14:textId="77777777" w:rsidR="00E21DF3" w:rsidRDefault="00000000">
            <w:pPr>
              <w:spacing w:after="40"/>
            </w:pPr>
            <w:r>
              <w:rPr>
                <w:sz w:val="19"/>
              </w:rPr>
              <w:t>Group, Family, and Household may act as collective subjects.</w:t>
            </w:r>
          </w:p>
        </w:tc>
        <w:tc>
          <w:tcPr>
            <w:tcW w:w="3672" w:type="dxa"/>
            <w:tcMar>
              <w:top w:w="80" w:type="dxa"/>
              <w:left w:w="100" w:type="dxa"/>
              <w:bottom w:w="80" w:type="dxa"/>
              <w:right w:w="100" w:type="dxa"/>
            </w:tcMar>
          </w:tcPr>
          <w:p w14:paraId="220B7086" w14:textId="77777777" w:rsidR="00E21DF3" w:rsidRDefault="00000000">
            <w:pPr>
              <w:spacing w:after="40"/>
            </w:pPr>
            <w:r>
              <w:rPr>
                <w:sz w:val="19"/>
              </w:rPr>
              <w:t>Provisioning, eligibility, authorization, and similar processes can target a collective unit directly rather than only its individual members.</w:t>
            </w:r>
          </w:p>
        </w:tc>
      </w:tr>
      <w:tr w:rsidR="00E21DF3" w14:paraId="730DCDDC" w14:textId="77777777">
        <w:tc>
          <w:tcPr>
            <w:tcW w:w="3024" w:type="dxa"/>
            <w:tcMar>
              <w:top w:w="80" w:type="dxa"/>
              <w:left w:w="100" w:type="dxa"/>
              <w:bottom w:w="80" w:type="dxa"/>
              <w:right w:w="100" w:type="dxa"/>
            </w:tcMar>
          </w:tcPr>
          <w:p w14:paraId="1410BD45" w14:textId="77777777" w:rsidR="00E21DF3" w:rsidRDefault="00000000">
            <w:pPr>
              <w:spacing w:after="40"/>
            </w:pPr>
            <w:r>
              <w:rPr>
                <w:sz w:val="19"/>
              </w:rPr>
              <w:lastRenderedPageBreak/>
              <w:t>Membership</w:t>
            </w:r>
          </w:p>
        </w:tc>
        <w:tc>
          <w:tcPr>
            <w:tcW w:w="3240" w:type="dxa"/>
            <w:tcMar>
              <w:top w:w="80" w:type="dxa"/>
              <w:left w:w="100" w:type="dxa"/>
              <w:bottom w:w="80" w:type="dxa"/>
              <w:right w:w="100" w:type="dxa"/>
            </w:tcMar>
          </w:tcPr>
          <w:p w14:paraId="6139BFFB" w14:textId="77777777" w:rsidR="00E21DF3" w:rsidRDefault="00000000">
            <w:pPr>
              <w:spacing w:after="40"/>
            </w:pPr>
            <w:r>
              <w:rPr>
                <w:sz w:val="19"/>
              </w:rPr>
              <w:t>Group membership is modeled separately from process participation.</w:t>
            </w:r>
          </w:p>
        </w:tc>
        <w:tc>
          <w:tcPr>
            <w:tcW w:w="3672" w:type="dxa"/>
            <w:tcMar>
              <w:top w:w="80" w:type="dxa"/>
              <w:left w:w="100" w:type="dxa"/>
              <w:bottom w:w="80" w:type="dxa"/>
              <w:right w:w="100" w:type="dxa"/>
            </w:tcMar>
          </w:tcPr>
          <w:p w14:paraId="7F86D7B2" w14:textId="77777777" w:rsidR="00E21DF3" w:rsidRDefault="00000000">
            <w:pPr>
              <w:spacing w:after="40"/>
            </w:pPr>
            <w:r>
              <w:rPr>
                <w:sz w:val="19"/>
              </w:rPr>
              <w:t>A household member is not automatically a participant in every process involving the household; explicit participation is still required.</w:t>
            </w:r>
          </w:p>
        </w:tc>
      </w:tr>
      <w:tr w:rsidR="00E21DF3" w14:paraId="5897B46C" w14:textId="77777777">
        <w:tc>
          <w:tcPr>
            <w:tcW w:w="3024" w:type="dxa"/>
            <w:tcMar>
              <w:top w:w="80" w:type="dxa"/>
              <w:left w:w="100" w:type="dxa"/>
              <w:bottom w:w="80" w:type="dxa"/>
              <w:right w:w="100" w:type="dxa"/>
            </w:tcMar>
          </w:tcPr>
          <w:p w14:paraId="739F570C" w14:textId="77777777" w:rsidR="00E21DF3" w:rsidRDefault="00000000">
            <w:pPr>
              <w:spacing w:after="40"/>
            </w:pPr>
            <w:r>
              <w:rPr>
                <w:sz w:val="19"/>
              </w:rPr>
              <w:t>Privacy and policy</w:t>
            </w:r>
          </w:p>
        </w:tc>
        <w:tc>
          <w:tcPr>
            <w:tcW w:w="3240" w:type="dxa"/>
            <w:tcMar>
              <w:top w:w="80" w:type="dxa"/>
              <w:left w:w="100" w:type="dxa"/>
              <w:bottom w:w="80" w:type="dxa"/>
              <w:right w:w="100" w:type="dxa"/>
            </w:tcMar>
          </w:tcPr>
          <w:p w14:paraId="42DB5761" w14:textId="77777777" w:rsidR="00E21DF3" w:rsidRDefault="00000000">
            <w:pPr>
              <w:spacing w:after="40"/>
            </w:pPr>
            <w:r>
              <w:rPr>
                <w:sz w:val="19"/>
              </w:rPr>
              <w:t>Role labels remain semantically distinct.</w:t>
            </w:r>
          </w:p>
        </w:tc>
        <w:tc>
          <w:tcPr>
            <w:tcW w:w="3672" w:type="dxa"/>
            <w:tcMar>
              <w:top w:w="80" w:type="dxa"/>
              <w:left w:w="100" w:type="dxa"/>
              <w:bottom w:w="80" w:type="dxa"/>
              <w:right w:w="100" w:type="dxa"/>
            </w:tcMar>
          </w:tcPr>
          <w:p w14:paraId="73B3ECFE" w14:textId="77777777" w:rsidR="00E21DF3" w:rsidRDefault="00000000">
            <w:pPr>
              <w:spacing w:after="40"/>
            </w:pPr>
            <w:r>
              <w:rPr>
                <w:sz w:val="19"/>
              </w:rPr>
              <w:t>Policy overlays can later differentiate access or disclosure rules by role type and by domain.</w:t>
            </w:r>
          </w:p>
        </w:tc>
      </w:tr>
    </w:tbl>
    <w:p w14:paraId="15022548" w14:textId="1D50A1BD" w:rsidR="00E21DF3" w:rsidRDefault="00E21DF3" w:rsidP="009927C0">
      <w:pPr>
        <w:pStyle w:val="Heading1"/>
      </w:pPr>
    </w:p>
    <w:sectPr w:rsidR="00E21DF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0417440">
    <w:abstractNumId w:val="8"/>
  </w:num>
  <w:num w:numId="2" w16cid:durableId="1583443067">
    <w:abstractNumId w:val="6"/>
  </w:num>
  <w:num w:numId="3" w16cid:durableId="401490975">
    <w:abstractNumId w:val="5"/>
  </w:num>
  <w:num w:numId="4" w16cid:durableId="1062481447">
    <w:abstractNumId w:val="4"/>
  </w:num>
  <w:num w:numId="5" w16cid:durableId="2006009541">
    <w:abstractNumId w:val="7"/>
  </w:num>
  <w:num w:numId="6" w16cid:durableId="764419467">
    <w:abstractNumId w:val="3"/>
  </w:num>
  <w:num w:numId="7" w16cid:durableId="2018540141">
    <w:abstractNumId w:val="2"/>
  </w:num>
  <w:num w:numId="8" w16cid:durableId="636910843">
    <w:abstractNumId w:val="1"/>
  </w:num>
  <w:num w:numId="9" w16cid:durableId="1428113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927C0"/>
    <w:rsid w:val="00AA1D8D"/>
    <w:rsid w:val="00B47730"/>
    <w:rsid w:val="00CB0664"/>
    <w:rsid w:val="00D40486"/>
    <w:rsid w:val="00E21DF3"/>
    <w:rsid w:val="00E85F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9E8D10"/>
  <w14:defaultImageDpi w14:val="300"/>
  <w15:docId w15:val="{DDDE1DDA-438F-4F0E-BD74-CC9683058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b/>
      <w:bCs/>
      <w:color w:val="3737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782</Words>
  <Characters>4893</Characters>
  <Application>Microsoft Office Word</Application>
  <DocSecurity>0</DocSecurity>
  <Lines>106</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 Lord</cp:lastModifiedBy>
  <cp:revision>2</cp:revision>
  <dcterms:created xsi:type="dcterms:W3CDTF">2026-04-14T19:04:00Z</dcterms:created>
  <dcterms:modified xsi:type="dcterms:W3CDTF">2026-04-14T19:04:00Z</dcterms:modified>
  <cp:category/>
</cp:coreProperties>
</file>