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36"/>
        </w:rPr>
        <w:t>AI in Practice I — Module 1: Applied GenAI</w:t>
      </w:r>
    </w:p>
    <w:p>
      <w:pPr>
        <w:jc w:val="center"/>
      </w:pPr>
      <w:r>
        <w:rPr>
          <w:i/>
          <w:sz w:val="22"/>
        </w:rPr>
        <w:t>Plaksha University · MS in Artificial Intelligence · Term 1 (2026)</w:t>
      </w:r>
    </w:p>
    <w:p>
      <w:pPr>
        <w:jc w:val="center"/>
      </w:pPr>
      <w:r>
        <w:rPr>
          <w:b/>
          <w:sz w:val="22"/>
        </w:rPr>
        <w:t>Module 1 of AI in Practice I (2 Credits | 60 Lab Hours)</w:t>
        <w:br/>
        <w:t>27 Contact Hours: 6 Hours Theory + 21 Hours Laboratory</w:t>
      </w:r>
    </w:p>
    <w:p/>
    <w:p>
      <w:r>
        <w:t>Department: HBS School of AI and Computer Science</w:t>
      </w:r>
    </w:p>
    <w:p>
      <w:r>
        <w:t>Course Type: Core</w:t>
      </w:r>
    </w:p>
    <w:p>
      <w:r>
        <w:t>Semester Offered: Term 1</w:t>
      </w:r>
    </w:p>
    <w:p>
      <w:r>
        <w:t>Course Code: To be assigned by the Office of Academic Affairs</w:t>
      </w:r>
    </w:p>
    <w:p>
      <w:r>
        <w:t>Format: 4 theory lectures × 1.5 hours; 7 problem laboratories × 3 hours</w:t>
      </w:r>
    </w:p>
    <w:p>
      <w:r>
        <w:t>Delivery: Nine 3-hour sessions, theory preceding the laboratory it enables</w:t>
      </w:r>
    </w:p>
    <w:p>
      <w:r>
        <w:rPr>
          <w:b/>
          <w:i w:val="0"/>
        </w:rPr>
        <w:t>Is the proposed module overlapping with any existing course? If yes, what percentage of the module overlaps?</w:t>
      </w:r>
    </w:p>
    <w:p>
      <w:r>
        <w:rPr>
          <w:b w:val="0"/>
          <w:i w:val="0"/>
        </w:rPr>
        <w:t>Answer: No. Module 1 is the applied engineering counterpart to the co-requisite lecture course Introduction to Large Language Models and Generative AI. That course develops conceptual understanding of language models, prompting, embeddings and retrieval-augmented generation; this module develops the engineering practice required to build, measure and operate systems using them. The section "Relationship to Introduction to Large Language Models and Generative AI" below states the division of responsibility between the two explicitly. There is no duplication of assessed content.</w:t>
      </w:r>
    </w:p>
    <w:p>
      <w:pPr>
        <w:pStyle w:val="Heading1"/>
      </w:pPr>
      <w:r>
        <w:t>Rationale for Introducing the Module</w:t>
      </w:r>
    </w:p>
    <w:p>
      <w:r>
        <w:rPr>
          <w:b w:val="0"/>
          <w:i w:val="0"/>
        </w:rPr>
        <w:t>Module 1 is introduced as the first component of the core project-based course AI in Practice I. Industry demand has shifted decisively from candidates who can describe how foundation models work to candidates who can build reliable systems on top of them: systems with measured accuracy, bounded cost, enforced output contracts, and defensible evaluation.</w:t>
      </w:r>
    </w:p>
    <w:p>
      <w:r>
        <w:rPr>
          <w:b w:val="0"/>
          <w:i w:val="0"/>
        </w:rPr>
        <w:t>The module addresses that gap directly. Students build seven working systems using pre-trained foundation models accessed through APIs, with no model training required. Every deliverable pairs working code with a quantified claim about its quality, cost and latency. The module is aligned with the programme's emphasis on experiential and application-oriented learning and prepares students for the subsequent modules of AI in Practice I.</w:t>
      </w:r>
    </w:p>
    <w:p>
      <w:pPr>
        <w:pStyle w:val="Heading1"/>
      </w:pPr>
      <w:r>
        <w:t>Module Description</w:t>
      </w:r>
    </w:p>
    <w:p>
      <w:r>
        <w:rPr>
          <w:b w:val="0"/>
          <w:i w:val="0"/>
        </w:rPr>
        <w:t>This module covers the construction of practical AI applications using pre-trained foundation models through APIs. Topics include prompt engineering as a software discipline, structured output and schema enforcement, evaluation-driven development for non-deterministic systems, embeddings and vector databases, hybrid and reranked retrieval, Retrieval-Augmented Generation, tool use with guardrails, prompt-injection defence, and deployment with observability and regression testing.</w:t>
      </w:r>
    </w:p>
    <w:p>
      <w:r>
        <w:rPr>
          <w:b w:val="0"/>
          <w:i w:val="0"/>
        </w:rPr>
        <w:t>The module requires no custom model training, no fine-tuning, no GPU access and no paid API account. All laboratory work is provider-agnostic through a unified client, and a fully local execution path is supported.</w:t>
      </w:r>
    </w:p>
    <w:p>
      <w:r>
        <w:rPr>
          <w:b w:val="0"/>
          <w:i w:val="0"/>
        </w:rPr>
        <w:t>Students work individually on Laboratories 1 and 2 and in pairs from Laboratory 3 onward, culminating in a deployed, evaluated service presented at a demonstration session.</w:t>
      </w:r>
    </w:p>
    <w:p>
      <w:pPr>
        <w:pStyle w:val="Heading1"/>
      </w:pPr>
      <w:r>
        <w:t>Prerequisites and Co-requisites</w:t>
      </w:r>
    </w:p>
    <w:p>
      <w:pPr>
        <w:pStyle w:val="ListBullet"/>
      </w:pPr>
      <w:r>
        <w:t>Prerequisite: Python Programming (Part 1)</w:t>
      </w:r>
    </w:p>
    <w:p>
      <w:pPr>
        <w:pStyle w:val="ListBullet"/>
      </w:pPr>
      <w:r>
        <w:t>Prerequisite: Introduction to Data Science — Mathematics and Statistics</w:t>
      </w:r>
    </w:p>
    <w:p>
      <w:pPr>
        <w:pStyle w:val="ListBullet"/>
      </w:pPr>
      <w:r>
        <w:t>Co-requisite: Introduction to Large Language Models and Generative AI</w:t>
      </w:r>
    </w:p>
    <w:p>
      <w:pPr>
        <w:pStyle w:val="ListBullet"/>
      </w:pPr>
      <w:r>
        <w:t>No prior experience with machine learning frameworks, GPUs or cloud platforms is required.</w:t>
      </w:r>
    </w:p>
    <w:p>
      <w:pPr>
        <w:pStyle w:val="Heading1"/>
      </w:pPr>
      <w:r>
        <w:t>Relationship to Introduction to Large Language Models and Generative AI</w:t>
      </w:r>
    </w:p>
    <w:p>
      <w:r>
        <w:rPr>
          <w:b w:val="0"/>
          <w:i w:val="0"/>
        </w:rPr>
        <w:t>The two courses run in parallel and are complementary. The table below is the division of responsibility between them.</w:t>
      </w:r>
    </w:p>
    <w:tbl>
      <w:tblPr>
        <w:tblStyle w:val="TableGrid"/>
        <w:tblW w:type="auto" w:w="0"/>
        <w:jc w:val="center"/>
        <w:tblLayout w:type="fixed"/>
        <w:tblLook w:firstColumn="1" w:firstRow="1" w:lastColumn="0" w:lastRow="0" w:noHBand="0" w:noVBand="1" w:val="04A0"/>
      </w:tblPr>
      <w:tblGrid>
        <w:gridCol w:w="1560"/>
        <w:gridCol w:w="3120"/>
        <w:gridCol w:w="4680"/>
      </w:tblGrid>
      <w:tr>
        <w:tc>
          <w:tcPr>
            <w:tcW w:type="dxa" w:w="1560"/>
          </w:tcPr>
          <w:p>
            <w:r/>
            <w:r>
              <w:rPr>
                <w:b/>
                <w:sz w:val="20"/>
              </w:rPr>
              <w:t>Concept</w:t>
            </w:r>
          </w:p>
        </w:tc>
        <w:tc>
          <w:tcPr>
            <w:tcW w:type="dxa" w:w="3120"/>
          </w:tcPr>
          <w:p>
            <w:r/>
            <w:r>
              <w:rPr>
                <w:b/>
                <w:sz w:val="20"/>
              </w:rPr>
              <w:t>LLM lecture course provides</w:t>
            </w:r>
          </w:p>
        </w:tc>
        <w:tc>
          <w:tcPr>
            <w:tcW w:type="dxa" w:w="4680"/>
          </w:tcPr>
          <w:p>
            <w:r/>
            <w:r>
              <w:rPr>
                <w:b/>
                <w:sz w:val="20"/>
              </w:rPr>
              <w:t>Module 1 requires students to</w:t>
            </w:r>
          </w:p>
        </w:tc>
      </w:tr>
      <w:tr>
        <w:tc>
          <w:tcPr>
            <w:tcW w:type="dxa" w:w="1560"/>
          </w:tcPr>
          <w:p>
            <w:r/>
            <w:r>
              <w:rPr>
                <w:sz w:val="20"/>
              </w:rPr>
              <w:t>LLM APIs</w:t>
            </w:r>
          </w:p>
        </w:tc>
        <w:tc>
          <w:tcPr>
            <w:tcW w:type="dxa" w:w="3120"/>
          </w:tcPr>
          <w:p>
            <w:r/>
            <w:r>
              <w:rPr>
                <w:sz w:val="20"/>
              </w:rPr>
              <w:t>Request/response format, decoding parameters</w:t>
            </w:r>
          </w:p>
        </w:tc>
        <w:tc>
          <w:tcPr>
            <w:tcW w:type="dxa" w:w="4680"/>
          </w:tcPr>
          <w:p>
            <w:r/>
            <w:r>
              <w:rPr>
                <w:sz w:val="20"/>
              </w:rPr>
              <w:t>Provider abstraction, retries, rate limiting, caching, cost accounting, budget enforcement</w:t>
            </w:r>
          </w:p>
        </w:tc>
      </w:tr>
      <w:tr>
        <w:tc>
          <w:tcPr>
            <w:tcW w:type="dxa" w:w="1560"/>
          </w:tcPr>
          <w:p>
            <w:r/>
            <w:r>
              <w:rPr>
                <w:sz w:val="20"/>
              </w:rPr>
              <w:t>Prompting</w:t>
            </w:r>
          </w:p>
        </w:tc>
        <w:tc>
          <w:tcPr>
            <w:tcW w:type="dxa" w:w="3120"/>
          </w:tcPr>
          <w:p>
            <w:r/>
            <w:r>
              <w:rPr>
                <w:sz w:val="20"/>
              </w:rPr>
              <w:t>Zero-shot, few-shot, chain-of-thought, self-consistency</w:t>
            </w:r>
          </w:p>
        </w:tc>
        <w:tc>
          <w:tcPr>
            <w:tcW w:type="dxa" w:w="4680"/>
          </w:tcPr>
          <w:p>
            <w:r/>
            <w:r>
              <w:rPr>
                <w:sz w:val="20"/>
              </w:rPr>
              <w:t>Compare a prompt portfolio against a golden set; report accuracy, cost and p95 latency; select with evidence</w:t>
            </w:r>
          </w:p>
        </w:tc>
      </w:tr>
      <w:tr>
        <w:tc>
          <w:tcPr>
            <w:tcW w:type="dxa" w:w="1560"/>
          </w:tcPr>
          <w:p>
            <w:r/>
            <w:r>
              <w:rPr>
                <w:sz w:val="20"/>
              </w:rPr>
              <w:t>Structured output</w:t>
            </w:r>
          </w:p>
        </w:tc>
        <w:tc>
          <w:tcPr>
            <w:tcW w:type="dxa" w:w="3120"/>
          </w:tcPr>
          <w:p>
            <w:r/>
            <w:r>
              <w:rPr>
                <w:sz w:val="20"/>
              </w:rPr>
              <w:t>JSON schemas, function-calling syntax</w:t>
            </w:r>
          </w:p>
        </w:tc>
        <w:tc>
          <w:tcPr>
            <w:tcW w:type="dxa" w:w="4680"/>
          </w:tcPr>
          <w:p>
            <w:r/>
            <w:r>
              <w:rPr>
                <w:sz w:val="20"/>
              </w:rPr>
              <w:t>Schema-first design, Pydantic validation, repair loops, accuracy targets on messy input</w:t>
            </w:r>
          </w:p>
        </w:tc>
      </w:tr>
      <w:tr>
        <w:tc>
          <w:tcPr>
            <w:tcW w:type="dxa" w:w="1560"/>
          </w:tcPr>
          <w:p>
            <w:r/>
            <w:r>
              <w:rPr>
                <w:sz w:val="20"/>
              </w:rPr>
              <w:t>Embeddings</w:t>
            </w:r>
          </w:p>
        </w:tc>
        <w:tc>
          <w:tcPr>
            <w:tcW w:type="dxa" w:w="3120"/>
          </w:tcPr>
          <w:p>
            <w:r/>
            <w:r>
              <w:rPr>
                <w:sz w:val="20"/>
              </w:rPr>
              <w:t>Distributional semantics, cosine similarity</w:t>
            </w:r>
          </w:p>
        </w:tc>
        <w:tc>
          <w:tcPr>
            <w:tcW w:type="dxa" w:w="4680"/>
          </w:tcPr>
          <w:p>
            <w:r/>
            <w:r>
              <w:rPr>
                <w:sz w:val="20"/>
              </w:rPr>
              <w:t>Chunking strategy, index selection, hybrid lexical-dense fusion, reranking, IR metrics</w:t>
            </w:r>
          </w:p>
        </w:tc>
      </w:tr>
      <w:tr>
        <w:tc>
          <w:tcPr>
            <w:tcW w:type="dxa" w:w="1560"/>
          </w:tcPr>
          <w:p>
            <w:r/>
            <w:r>
              <w:rPr>
                <w:sz w:val="20"/>
              </w:rPr>
              <w:t>RAG</w:t>
            </w:r>
          </w:p>
        </w:tc>
        <w:tc>
          <w:tcPr>
            <w:tcW w:type="dxa" w:w="3120"/>
          </w:tcPr>
          <w:p>
            <w:r/>
            <w:r>
              <w:rPr>
                <w:sz w:val="20"/>
              </w:rPr>
              <w:t>Pipeline architecture, chunk size, faithfulness</w:t>
            </w:r>
          </w:p>
        </w:tc>
        <w:tc>
          <w:tcPr>
            <w:tcW w:type="dxa" w:w="4680"/>
          </w:tcPr>
          <w:p>
            <w:r/>
            <w:r>
              <w:rPr>
                <w:sz w:val="20"/>
              </w:rPr>
              <w:t>Diagnose which pipeline stage failed; remediate; demonstrate measured improvement</w:t>
            </w:r>
          </w:p>
        </w:tc>
      </w:tr>
      <w:tr>
        <w:tc>
          <w:tcPr>
            <w:tcW w:type="dxa" w:w="1560"/>
          </w:tcPr>
          <w:p>
            <w:r/>
            <w:r>
              <w:rPr>
                <w:sz w:val="20"/>
              </w:rPr>
              <w:t>Tool use</w:t>
            </w:r>
          </w:p>
        </w:tc>
        <w:tc>
          <w:tcPr>
            <w:tcW w:type="dxa" w:w="3120"/>
          </w:tcPr>
          <w:p>
            <w:r/>
            <w:r>
              <w:rPr>
                <w:sz w:val="20"/>
              </w:rPr>
              <w:t>Function calling, the ReAct loop</w:t>
            </w:r>
          </w:p>
        </w:tc>
        <w:tc>
          <w:tcPr>
            <w:tcW w:type="dxa" w:w="4680"/>
          </w:tcPr>
          <w:p>
            <w:r/>
            <w:r>
              <w:rPr>
                <w:sz w:val="20"/>
              </w:rPr>
              <w:t>Tool contracts, argument validation, budget caps, injection red-teaming</w:t>
            </w:r>
          </w:p>
        </w:tc>
      </w:tr>
      <w:tr>
        <w:tc>
          <w:tcPr>
            <w:tcW w:type="dxa" w:w="1560"/>
          </w:tcPr>
          <w:p>
            <w:r/>
            <w:r>
              <w:rPr>
                <w:sz w:val="20"/>
              </w:rPr>
              <w:t>Evaluation</w:t>
            </w:r>
          </w:p>
        </w:tc>
        <w:tc>
          <w:tcPr>
            <w:tcW w:type="dxa" w:w="3120"/>
          </w:tcPr>
          <w:p>
            <w:r/>
            <w:r>
              <w:rPr>
                <w:sz w:val="20"/>
              </w:rPr>
              <w:t>Precision, recall, F1</w:t>
            </w:r>
          </w:p>
        </w:tc>
        <w:tc>
          <w:tcPr>
            <w:tcW w:type="dxa" w:w="4680"/>
          </w:tcPr>
          <w:p>
            <w:r/>
            <w:r>
              <w:rPr>
                <w:sz w:val="20"/>
              </w:rPr>
              <w:t>Construct the harness: golden sets, calibrated LLM-as-judge, regression gates in CI</w:t>
            </w:r>
          </w:p>
        </w:tc>
      </w:tr>
    </w:tbl>
    <w:p/>
    <w:p>
      <w:pPr>
        <w:pStyle w:val="Heading1"/>
      </w:pPr>
      <w:r>
        <w:t>Module Learning Outcomes</w:t>
      </w:r>
    </w:p>
    <w:p>
      <w:r>
        <w:rPr>
          <w:b w:val="0"/>
          <w:i w:val="0"/>
        </w:rPr>
        <w:t>On successful completion of Module 1, each student will be able to:</w:t>
      </w:r>
    </w:p>
    <w:p>
      <w:pPr>
        <w:pStyle w:val="ListNumber"/>
      </w:pPr>
      <w:r>
        <w:t>MLO1 — Decompose a business problem into the components a foundation model should handle and the components deterministic code must handle, and justify the boundary.</w:t>
      </w:r>
    </w:p>
    <w:p>
      <w:pPr>
        <w:pStyle w:val="ListNumber"/>
      </w:pPr>
      <w:r>
        <w:t>MLO2 — Specify a language-model task as a typed contract and enforce it with schema validation and repair, achieving a stated field-level accuracy target on unstructured input.</w:t>
      </w:r>
    </w:p>
    <w:p>
      <w:pPr>
        <w:pStyle w:val="ListNumber"/>
      </w:pPr>
      <w:r>
        <w:t>MLO3 — Construct an evaluation harness with a golden set and use it to select between competing implementations on the joint axes of quality, cost and latency.</w:t>
      </w:r>
    </w:p>
    <w:p>
      <w:pPr>
        <w:pStyle w:val="ListNumber"/>
      </w:pPr>
      <w:r>
        <w:t>MLO4 — Build and tune a retrieval system — chunking, embedding, indexing, fusion and reranking — and report standard information-retrieval metrics against a labelled query set.</w:t>
      </w:r>
    </w:p>
    <w:p>
      <w:pPr>
        <w:pStyle w:val="ListNumber"/>
      </w:pPr>
      <w:r>
        <w:t>MLO5 — Diagnose which stage of a Retrieval-Augmented Generation pipeline is responsible for an incorrect answer and demonstrate a measured improvement.</w:t>
      </w:r>
    </w:p>
    <w:p>
      <w:pPr>
        <w:pStyle w:val="ListNumber"/>
      </w:pPr>
      <w:r>
        <w:t>MLO6 — Apply engineering guardrails — budget caps, timeouts, input validation, prompt-injection defences and tracing — to a system exposed to untrusted input.</w:t>
      </w:r>
    </w:p>
    <w:p>
      <w:pPr>
        <w:pStyle w:val="ListNumber"/>
      </w:pPr>
      <w:r>
        <w:t>MLO7 — Deploy the system behind an API with caching, streaming and observability, and defend its behaviour with data.</w:t>
      </w:r>
    </w:p>
    <w:p>
      <w:pPr>
        <w:pStyle w:val="Heading2"/>
      </w:pPr>
      <w:r>
        <w:t>Mapping to Course Learning Outcomes</w:t>
      </w:r>
    </w:p>
    <w:tbl>
      <w:tblPr>
        <w:tblStyle w:val="TableGrid"/>
        <w:tblW w:type="auto" w:w="0"/>
        <w:jc w:val="center"/>
        <w:tblLayout w:type="fixed"/>
        <w:tblLook w:firstColumn="1" w:firstRow="1" w:lastColumn="0" w:lastRow="0" w:noHBand="0" w:noVBand="1" w:val="04A0"/>
      </w:tblPr>
      <w:tblGrid>
        <w:gridCol w:w="3404"/>
        <w:gridCol w:w="5956"/>
      </w:tblGrid>
      <w:tr>
        <w:tc>
          <w:tcPr>
            <w:tcW w:type="dxa" w:w="3404"/>
          </w:tcPr>
          <w:p>
            <w:r/>
            <w:r>
              <w:rPr>
                <w:b/>
                <w:sz w:val="20"/>
              </w:rPr>
              <w:t>Course CLO</w:t>
            </w:r>
          </w:p>
        </w:tc>
        <w:tc>
          <w:tcPr>
            <w:tcW w:type="dxa" w:w="5956"/>
          </w:tcPr>
          <w:p>
            <w:r/>
            <w:r>
              <w:rPr>
                <w:b/>
                <w:sz w:val="20"/>
              </w:rPr>
              <w:t>Module 1 contribution</w:t>
            </w:r>
          </w:p>
        </w:tc>
      </w:tr>
      <w:tr>
        <w:tc>
          <w:tcPr>
            <w:tcW w:type="dxa" w:w="3404"/>
          </w:tcPr>
          <w:p>
            <w:r/>
            <w:r>
              <w:rPr>
                <w:sz w:val="20"/>
              </w:rPr>
              <w:t>CLO1 — Knowledge: end-to-end AI system architecture</w:t>
            </w:r>
          </w:p>
        </w:tc>
        <w:tc>
          <w:tcPr>
            <w:tcW w:type="dxa" w:w="5956"/>
          </w:tcPr>
          <w:p>
            <w:r/>
            <w:r>
              <w:rPr>
                <w:sz w:val="20"/>
              </w:rPr>
              <w:t>Theory T1–T4 and Laboratory 7: the complete serving path — ingestion, index, inference, validation, observability, deployment</w:t>
            </w:r>
          </w:p>
        </w:tc>
      </w:tr>
      <w:tr>
        <w:tc>
          <w:tcPr>
            <w:tcW w:type="dxa" w:w="3404"/>
          </w:tcPr>
          <w:p>
            <w:r/>
            <w:r>
              <w:rPr>
                <w:sz w:val="20"/>
              </w:rPr>
              <w:t>CLO2 — Application: apply techniques to build a working system</w:t>
            </w:r>
          </w:p>
        </w:tc>
        <w:tc>
          <w:tcPr>
            <w:tcW w:type="dxa" w:w="5956"/>
          </w:tcPr>
          <w:p>
            <w:r/>
            <w:r>
              <w:rPr>
                <w:sz w:val="20"/>
              </w:rPr>
              <w:t>Laboratories 1, 3, 4 and 6: extraction, retrieval, RAG and tool use, delivered as running code</w:t>
            </w:r>
          </w:p>
        </w:tc>
      </w:tr>
      <w:tr>
        <w:tc>
          <w:tcPr>
            <w:tcW w:type="dxa" w:w="3404"/>
          </w:tcPr>
          <w:p>
            <w:r/>
            <w:r>
              <w:rPr>
                <w:sz w:val="20"/>
              </w:rPr>
              <w:t>CLO3 — Analysis/Evaluation: analyse performance, limitations, data quality</w:t>
            </w:r>
          </w:p>
        </w:tc>
        <w:tc>
          <w:tcPr>
            <w:tcW w:type="dxa" w:w="5956"/>
          </w:tcPr>
          <w:p>
            <w:r/>
            <w:r>
              <w:rPr>
                <w:sz w:val="20"/>
              </w:rPr>
              <w:t>Laboratories 2 and 5: evaluation-harness construction, failure triage, measured improvement</w:t>
            </w:r>
          </w:p>
        </w:tc>
      </w:tr>
      <w:tr>
        <w:tc>
          <w:tcPr>
            <w:tcW w:type="dxa" w:w="3404"/>
          </w:tcPr>
          <w:p>
            <w:r/>
            <w:r>
              <w:rPr>
                <w:sz w:val="20"/>
              </w:rPr>
              <w:t>CLO4 — Creation/Synthesis: complete system, problem to deployment</w:t>
            </w:r>
          </w:p>
        </w:tc>
        <w:tc>
          <w:tcPr>
            <w:tcW w:type="dxa" w:w="5956"/>
          </w:tcPr>
          <w:p>
            <w:r/>
            <w:r>
              <w:rPr>
                <w:sz w:val="20"/>
              </w:rPr>
              <w:t>Laboratory 7: an integrated, traced, cost-budgeted, deployed service with an evaluation report</w:t>
            </w:r>
          </w:p>
        </w:tc>
      </w:tr>
    </w:tbl>
    <w:p/>
    <w:p>
      <w:r>
        <w:br w:type="page"/>
      </w:r>
    </w:p>
    <w:p>
      <w:pPr>
        <w:pStyle w:val="Heading1"/>
      </w:pPr>
      <w:r>
        <w:t>Topics, Key Concepts and Contact Hours</w:t>
      </w:r>
    </w:p>
    <w:p>
      <w:r>
        <w:rPr>
          <w:b w:val="0"/>
          <w:i w:val="0"/>
        </w:rPr>
        <w:t>Delivered in nine 3-hour sessions: two theory sessions of two 90-minute lectures each, and seven 3-hour laboratories. Theory always precedes the laboratory it enables.</w:t>
      </w:r>
    </w:p>
    <w:tbl>
      <w:tblPr>
        <w:tblStyle w:val="TableGrid"/>
        <w:tblW w:type="auto" w:w="0"/>
        <w:jc w:val="center"/>
        <w:tblLayout w:type="fixed"/>
        <w:tblLook w:firstColumn="1" w:firstRow="1" w:lastColumn="0" w:lastRow="0" w:noHBand="0" w:noVBand="1" w:val="04A0"/>
      </w:tblPr>
      <w:tblGrid>
        <w:gridCol w:w="500"/>
        <w:gridCol w:w="1089"/>
        <w:gridCol w:w="2219"/>
        <w:gridCol w:w="5043"/>
        <w:gridCol w:w="508"/>
      </w:tblGrid>
      <w:tr>
        <w:tc>
          <w:tcPr>
            <w:tcW w:type="dxa" w:w="500"/>
          </w:tcPr>
          <w:p>
            <w:r/>
            <w:r>
              <w:rPr>
                <w:b/>
                <w:sz w:val="18"/>
              </w:rPr>
              <w:t>Slot</w:t>
            </w:r>
          </w:p>
        </w:tc>
        <w:tc>
          <w:tcPr>
            <w:tcW w:type="dxa" w:w="1089"/>
          </w:tcPr>
          <w:p>
            <w:r/>
            <w:r>
              <w:rPr>
                <w:b/>
                <w:sz w:val="18"/>
              </w:rPr>
              <w:t>Session</w:t>
            </w:r>
          </w:p>
        </w:tc>
        <w:tc>
          <w:tcPr>
            <w:tcW w:type="dxa" w:w="2219"/>
          </w:tcPr>
          <w:p>
            <w:r/>
            <w:r>
              <w:rPr>
                <w:b/>
                <w:sz w:val="18"/>
              </w:rPr>
              <w:t>Topic</w:t>
            </w:r>
          </w:p>
        </w:tc>
        <w:tc>
          <w:tcPr>
            <w:tcW w:type="dxa" w:w="5043"/>
          </w:tcPr>
          <w:p>
            <w:r/>
            <w:r>
              <w:rPr>
                <w:b/>
                <w:sz w:val="18"/>
              </w:rPr>
              <w:t>Key Concepts</w:t>
            </w:r>
          </w:p>
        </w:tc>
        <w:tc>
          <w:tcPr>
            <w:tcW w:type="dxa" w:w="508"/>
          </w:tcPr>
          <w:p>
            <w:r/>
            <w:r>
              <w:rPr>
                <w:b/>
                <w:sz w:val="18"/>
              </w:rPr>
              <w:t>Hrs</w:t>
            </w:r>
          </w:p>
        </w:tc>
      </w:tr>
      <w:tr>
        <w:tc>
          <w:tcPr>
            <w:tcW w:type="dxa" w:w="500"/>
          </w:tcPr>
          <w:p>
            <w:r/>
            <w:r>
              <w:rPr>
                <w:sz w:val="18"/>
              </w:rPr>
              <w:t>1</w:t>
            </w:r>
          </w:p>
        </w:tc>
        <w:tc>
          <w:tcPr>
            <w:tcW w:type="dxa" w:w="1089"/>
          </w:tcPr>
          <w:p>
            <w:r/>
            <w:r>
              <w:rPr>
                <w:sz w:val="18"/>
              </w:rPr>
              <w:t>Theory T1</w:t>
            </w:r>
          </w:p>
        </w:tc>
        <w:tc>
          <w:tcPr>
            <w:tcW w:type="dxa" w:w="2219"/>
          </w:tcPr>
          <w:p>
            <w:r/>
            <w:r>
              <w:rPr>
                <w:sz w:val="18"/>
              </w:rPr>
              <w:t>Anatomy and Economics of a GenAI Application</w:t>
            </w:r>
          </w:p>
        </w:tc>
        <w:tc>
          <w:tcPr>
            <w:tcW w:type="dxa" w:w="5043"/>
          </w:tcPr>
          <w:p>
            <w:r/>
            <w:r>
              <w:rPr>
                <w:sz w:val="18"/>
              </w:rPr>
              <w:t>Model/code boundary; tokens, latency, cost and reliability as resources; the nine-failure taxonomy; seven-layer application architecture</w:t>
            </w:r>
          </w:p>
        </w:tc>
        <w:tc>
          <w:tcPr>
            <w:tcW w:type="dxa" w:w="508"/>
          </w:tcPr>
          <w:p>
            <w:r/>
            <w:r>
              <w:rPr>
                <w:sz w:val="18"/>
              </w:rPr>
              <w:t>1.5</w:t>
            </w:r>
          </w:p>
        </w:tc>
      </w:tr>
      <w:tr>
        <w:tc>
          <w:tcPr>
            <w:tcW w:type="dxa" w:w="500"/>
          </w:tcPr>
          <w:p>
            <w:r/>
            <w:r>
              <w:rPr>
                <w:sz w:val="18"/>
              </w:rPr>
              <w:t>1</w:t>
            </w:r>
          </w:p>
        </w:tc>
        <w:tc>
          <w:tcPr>
            <w:tcW w:type="dxa" w:w="1089"/>
          </w:tcPr>
          <w:p>
            <w:r/>
            <w:r>
              <w:rPr>
                <w:sz w:val="18"/>
              </w:rPr>
              <w:t>Theory T2</w:t>
            </w:r>
          </w:p>
        </w:tc>
        <w:tc>
          <w:tcPr>
            <w:tcW w:type="dxa" w:w="2219"/>
          </w:tcPr>
          <w:p>
            <w:r/>
            <w:r>
              <w:rPr>
                <w:sz w:val="18"/>
              </w:rPr>
              <w:t>Specification and Control</w:t>
            </w:r>
          </w:p>
        </w:tc>
        <w:tc>
          <w:tcPr>
            <w:tcW w:type="dxa" w:w="5043"/>
          </w:tcPr>
          <w:p>
            <w:r/>
            <w:r>
              <w:rPr>
                <w:sz w:val="18"/>
              </w:rPr>
              <w:t>Prompts as programs; the seven prompt components; schemas as contracts; validation and repair loops; model cascades; untrusted input</w:t>
            </w:r>
          </w:p>
        </w:tc>
        <w:tc>
          <w:tcPr>
            <w:tcW w:type="dxa" w:w="508"/>
          </w:tcPr>
          <w:p>
            <w:r/>
            <w:r>
              <w:rPr>
                <w:sz w:val="18"/>
              </w:rPr>
              <w:t>1.5</w:t>
            </w:r>
          </w:p>
        </w:tc>
      </w:tr>
      <w:tr>
        <w:tc>
          <w:tcPr>
            <w:tcW w:type="dxa" w:w="500"/>
          </w:tcPr>
          <w:p>
            <w:r/>
            <w:r>
              <w:rPr>
                <w:sz w:val="18"/>
              </w:rPr>
              <w:t>2</w:t>
            </w:r>
          </w:p>
        </w:tc>
        <w:tc>
          <w:tcPr>
            <w:tcW w:type="dxa" w:w="1089"/>
          </w:tcPr>
          <w:p>
            <w:r/>
            <w:r>
              <w:rPr>
                <w:sz w:val="18"/>
              </w:rPr>
              <w:t>Lab 1</w:t>
            </w:r>
          </w:p>
        </w:tc>
        <w:tc>
          <w:tcPr>
            <w:tcW w:type="dxa" w:w="2219"/>
          </w:tcPr>
          <w:p>
            <w:r/>
            <w:r>
              <w:rPr>
                <w:sz w:val="18"/>
              </w:rPr>
              <w:t>The Reliable Extractor</w:t>
            </w:r>
          </w:p>
        </w:tc>
        <w:tc>
          <w:tcPr>
            <w:tcW w:type="dxa" w:w="5043"/>
          </w:tcPr>
          <w:p>
            <w:r/>
            <w:r>
              <w:rPr>
                <w:sz w:val="18"/>
              </w:rPr>
              <w:t>Unstructured tickets to validated records; Pydantic contracts; repair loops; moving deterministic fields out of the model; cost modelling</w:t>
            </w:r>
          </w:p>
        </w:tc>
        <w:tc>
          <w:tcPr>
            <w:tcW w:type="dxa" w:w="508"/>
          </w:tcPr>
          <w:p>
            <w:r/>
            <w:r>
              <w:rPr>
                <w:sz w:val="18"/>
              </w:rPr>
              <w:t>3</w:t>
            </w:r>
          </w:p>
        </w:tc>
      </w:tr>
      <w:tr>
        <w:tc>
          <w:tcPr>
            <w:tcW w:type="dxa" w:w="500"/>
          </w:tcPr>
          <w:p>
            <w:r/>
            <w:r>
              <w:rPr>
                <w:sz w:val="18"/>
              </w:rPr>
              <w:t>3</w:t>
            </w:r>
          </w:p>
        </w:tc>
        <w:tc>
          <w:tcPr>
            <w:tcW w:type="dxa" w:w="1089"/>
          </w:tcPr>
          <w:p>
            <w:r/>
            <w:r>
              <w:rPr>
                <w:sz w:val="18"/>
              </w:rPr>
              <w:t>Theory T3</w:t>
            </w:r>
          </w:p>
        </w:tc>
        <w:tc>
          <w:tcPr>
            <w:tcW w:type="dxa" w:w="2219"/>
          </w:tcPr>
          <w:p>
            <w:r/>
            <w:r>
              <w:rPr>
                <w:sz w:val="18"/>
              </w:rPr>
              <w:t>Evaluation-Driven Development</w:t>
            </w:r>
          </w:p>
        </w:tc>
        <w:tc>
          <w:tcPr>
            <w:tcW w:type="dxa" w:w="5043"/>
          </w:tcPr>
          <w:p>
            <w:r/>
            <w:r>
              <w:rPr>
                <w:sz w:val="18"/>
              </w:rPr>
              <w:t>Golden-set design and stratification; deterministic and retrieval metrics; LLM-as-judge bias and calibration; regression gates</w:t>
            </w:r>
          </w:p>
        </w:tc>
        <w:tc>
          <w:tcPr>
            <w:tcW w:type="dxa" w:w="508"/>
          </w:tcPr>
          <w:p>
            <w:r/>
            <w:r>
              <w:rPr>
                <w:sz w:val="18"/>
              </w:rPr>
              <w:t>1.5</w:t>
            </w:r>
          </w:p>
        </w:tc>
      </w:tr>
      <w:tr>
        <w:tc>
          <w:tcPr>
            <w:tcW w:type="dxa" w:w="500"/>
          </w:tcPr>
          <w:p>
            <w:r/>
            <w:r>
              <w:rPr>
                <w:sz w:val="18"/>
              </w:rPr>
              <w:t>3</w:t>
            </w:r>
          </w:p>
        </w:tc>
        <w:tc>
          <w:tcPr>
            <w:tcW w:type="dxa" w:w="1089"/>
          </w:tcPr>
          <w:p>
            <w:r/>
            <w:r>
              <w:rPr>
                <w:sz w:val="18"/>
              </w:rPr>
              <w:t>Theory T4</w:t>
            </w:r>
          </w:p>
        </w:tc>
        <w:tc>
          <w:tcPr>
            <w:tcW w:type="dxa" w:w="2219"/>
          </w:tcPr>
          <w:p>
            <w:r/>
            <w:r>
              <w:rPr>
                <w:sz w:val="18"/>
              </w:rPr>
              <w:t>Retrieval Engineering and the Seven Failure Modes of RAG</w:t>
            </w:r>
          </w:p>
        </w:tc>
        <w:tc>
          <w:tcPr>
            <w:tcW w:type="dxa" w:w="5043"/>
          </w:tcPr>
          <w:p>
            <w:r/>
            <w:r>
              <w:rPr>
                <w:sz w:val="18"/>
              </w:rPr>
              <w:t>Chunking strategy; HNSW and vector databases; dense, lexical and hybrid retrieval; reranking; query transforms; failure diagnosis; refusal</w:t>
            </w:r>
          </w:p>
        </w:tc>
        <w:tc>
          <w:tcPr>
            <w:tcW w:type="dxa" w:w="508"/>
          </w:tcPr>
          <w:p>
            <w:r/>
            <w:r>
              <w:rPr>
                <w:sz w:val="18"/>
              </w:rPr>
              <w:t>1.5</w:t>
            </w:r>
          </w:p>
        </w:tc>
      </w:tr>
      <w:tr>
        <w:tc>
          <w:tcPr>
            <w:tcW w:type="dxa" w:w="500"/>
          </w:tcPr>
          <w:p>
            <w:r/>
            <w:r>
              <w:rPr>
                <w:sz w:val="18"/>
              </w:rPr>
              <w:t>4</w:t>
            </w:r>
          </w:p>
        </w:tc>
        <w:tc>
          <w:tcPr>
            <w:tcW w:type="dxa" w:w="1089"/>
          </w:tcPr>
          <w:p>
            <w:r/>
            <w:r>
              <w:rPr>
                <w:sz w:val="18"/>
              </w:rPr>
              <w:t>Lab 2</w:t>
            </w:r>
          </w:p>
        </w:tc>
        <w:tc>
          <w:tcPr>
            <w:tcW w:type="dxa" w:w="2219"/>
          </w:tcPr>
          <w:p>
            <w:r/>
            <w:r>
              <w:rPr>
                <w:sz w:val="18"/>
              </w:rPr>
              <w:t>The Prompt Lab</w:t>
            </w:r>
          </w:p>
        </w:tc>
        <w:tc>
          <w:tcPr>
            <w:tcW w:type="dxa" w:w="5043"/>
          </w:tcPr>
          <w:p>
            <w:r/>
            <w:r>
              <w:rPr>
                <w:sz w:val="18"/>
              </w:rPr>
              <w:t>Experiment harness; few-shot selection; configuration grid; small-to-large cascade; confidence intervals and paired significance testing</w:t>
            </w:r>
          </w:p>
        </w:tc>
        <w:tc>
          <w:tcPr>
            <w:tcW w:type="dxa" w:w="508"/>
          </w:tcPr>
          <w:p>
            <w:r/>
            <w:r>
              <w:rPr>
                <w:sz w:val="18"/>
              </w:rPr>
              <w:t>3</w:t>
            </w:r>
          </w:p>
        </w:tc>
      </w:tr>
      <w:tr>
        <w:tc>
          <w:tcPr>
            <w:tcW w:type="dxa" w:w="500"/>
          </w:tcPr>
          <w:p>
            <w:r/>
            <w:r>
              <w:rPr>
                <w:sz w:val="18"/>
              </w:rPr>
              <w:t>5</w:t>
            </w:r>
          </w:p>
        </w:tc>
        <w:tc>
          <w:tcPr>
            <w:tcW w:type="dxa" w:w="1089"/>
          </w:tcPr>
          <w:p>
            <w:r/>
            <w:r>
              <w:rPr>
                <w:sz w:val="18"/>
              </w:rPr>
              <w:t>Lab 3</w:t>
            </w:r>
          </w:p>
        </w:tc>
        <w:tc>
          <w:tcPr>
            <w:tcW w:type="dxa" w:w="2219"/>
          </w:tcPr>
          <w:p>
            <w:r/>
            <w:r>
              <w:rPr>
                <w:sz w:val="18"/>
              </w:rPr>
              <w:t>Semantic Search That Actually Works</w:t>
            </w:r>
          </w:p>
        </w:tc>
        <w:tc>
          <w:tcPr>
            <w:tcW w:type="dxa" w:w="5043"/>
          </w:tcPr>
          <w:p>
            <w:r/>
            <w:r>
              <w:rPr>
                <w:sz w:val="18"/>
              </w:rPr>
              <w:t>Chunking sweep; BM25 versus dense versus hybrid RRF; cross-encoder and LLM reranking; ANN versus exact search; metadata filtering</w:t>
            </w:r>
          </w:p>
        </w:tc>
        <w:tc>
          <w:tcPr>
            <w:tcW w:type="dxa" w:w="508"/>
          </w:tcPr>
          <w:p>
            <w:r/>
            <w:r>
              <w:rPr>
                <w:sz w:val="18"/>
              </w:rPr>
              <w:t>3</w:t>
            </w:r>
          </w:p>
        </w:tc>
      </w:tr>
      <w:tr>
        <w:tc>
          <w:tcPr>
            <w:tcW w:type="dxa" w:w="500"/>
          </w:tcPr>
          <w:p>
            <w:r/>
            <w:r>
              <w:rPr>
                <w:sz w:val="18"/>
              </w:rPr>
              <w:t>6</w:t>
            </w:r>
          </w:p>
        </w:tc>
        <w:tc>
          <w:tcPr>
            <w:tcW w:type="dxa" w:w="1089"/>
          </w:tcPr>
          <w:p>
            <w:r/>
            <w:r>
              <w:rPr>
                <w:sz w:val="18"/>
              </w:rPr>
              <w:t>Lab 4</w:t>
            </w:r>
          </w:p>
        </w:tc>
        <w:tc>
          <w:tcPr>
            <w:tcW w:type="dxa" w:w="2219"/>
          </w:tcPr>
          <w:p>
            <w:r/>
            <w:r>
              <w:rPr>
                <w:sz w:val="18"/>
              </w:rPr>
              <w:t>RAG v1 - Grounded Answers with Citations</w:t>
            </w:r>
          </w:p>
        </w:tc>
        <w:tc>
          <w:tcPr>
            <w:tcW w:type="dxa" w:w="5043"/>
          </w:tcPr>
          <w:p>
            <w:r/>
            <w:r>
              <w:rPr>
                <w:sz w:val="18"/>
              </w:rPr>
              <w:t>Generation contract; citation enforcement in code; refusal precision and recall; calibrated LLM-as-judge; gold-context decomposition</w:t>
            </w:r>
          </w:p>
        </w:tc>
        <w:tc>
          <w:tcPr>
            <w:tcW w:type="dxa" w:w="508"/>
          </w:tcPr>
          <w:p>
            <w:r/>
            <w:r>
              <w:rPr>
                <w:sz w:val="18"/>
              </w:rPr>
              <w:t>3</w:t>
            </w:r>
          </w:p>
        </w:tc>
      </w:tr>
      <w:tr>
        <w:tc>
          <w:tcPr>
            <w:tcW w:type="dxa" w:w="500"/>
          </w:tcPr>
          <w:p>
            <w:r/>
            <w:r>
              <w:rPr>
                <w:sz w:val="18"/>
              </w:rPr>
              <w:t>7</w:t>
            </w:r>
          </w:p>
        </w:tc>
        <w:tc>
          <w:tcPr>
            <w:tcW w:type="dxa" w:w="1089"/>
          </w:tcPr>
          <w:p>
            <w:r/>
            <w:r>
              <w:rPr>
                <w:sz w:val="18"/>
              </w:rPr>
              <w:t>Lab 5</w:t>
            </w:r>
          </w:p>
        </w:tc>
        <w:tc>
          <w:tcPr>
            <w:tcW w:type="dxa" w:w="2219"/>
          </w:tcPr>
          <w:p>
            <w:r/>
            <w:r>
              <w:rPr>
                <w:sz w:val="18"/>
              </w:rPr>
              <w:t>RAG v2 - Diagnose, Fix, Prove</w:t>
            </w:r>
          </w:p>
        </w:tc>
        <w:tc>
          <w:tcPr>
            <w:tcW w:type="dxa" w:w="5043"/>
          </w:tcPr>
          <w:p>
            <w:r/>
            <w:r>
              <w:rPr>
                <w:sz w:val="18"/>
              </w:rPr>
              <w:t>Classification of every failure into the seven modes; prioritisation by expected value; targeted remediation; before/after proof; regression check</w:t>
            </w:r>
          </w:p>
        </w:tc>
        <w:tc>
          <w:tcPr>
            <w:tcW w:type="dxa" w:w="508"/>
          </w:tcPr>
          <w:p>
            <w:r/>
            <w:r>
              <w:rPr>
                <w:sz w:val="18"/>
              </w:rPr>
              <w:t>3</w:t>
            </w:r>
          </w:p>
        </w:tc>
      </w:tr>
      <w:tr>
        <w:tc>
          <w:tcPr>
            <w:tcW w:type="dxa" w:w="500"/>
          </w:tcPr>
          <w:p>
            <w:r/>
            <w:r>
              <w:rPr>
                <w:sz w:val="18"/>
              </w:rPr>
              <w:t>8</w:t>
            </w:r>
          </w:p>
        </w:tc>
        <w:tc>
          <w:tcPr>
            <w:tcW w:type="dxa" w:w="1089"/>
          </w:tcPr>
          <w:p>
            <w:r/>
            <w:r>
              <w:rPr>
                <w:sz w:val="18"/>
              </w:rPr>
              <w:t>Lab 6</w:t>
            </w:r>
          </w:p>
        </w:tc>
        <w:tc>
          <w:tcPr>
            <w:tcW w:type="dxa" w:w="2219"/>
          </w:tcPr>
          <w:p>
            <w:r/>
            <w:r>
              <w:rPr>
                <w:sz w:val="18"/>
              </w:rPr>
              <w:t>Tool Use, Guardrails and Red-Teaming</w:t>
            </w:r>
          </w:p>
        </w:tc>
        <w:tc>
          <w:tcPr>
            <w:tcW w:type="dxa" w:w="5043"/>
          </w:tcPr>
          <w:p>
            <w:r/>
            <w:r>
              <w:rPr>
                <w:sz w:val="18"/>
              </w:rPr>
              <w:t>Bounded tool loops; argument validation; privilege capping; direct and indirect prompt injection; layered defences; false-positive measurement</w:t>
            </w:r>
          </w:p>
        </w:tc>
        <w:tc>
          <w:tcPr>
            <w:tcW w:type="dxa" w:w="508"/>
          </w:tcPr>
          <w:p>
            <w:r/>
            <w:r>
              <w:rPr>
                <w:sz w:val="18"/>
              </w:rPr>
              <w:t>3</w:t>
            </w:r>
          </w:p>
        </w:tc>
      </w:tr>
      <w:tr>
        <w:tc>
          <w:tcPr>
            <w:tcW w:type="dxa" w:w="500"/>
          </w:tcPr>
          <w:p>
            <w:r/>
            <w:r>
              <w:rPr>
                <w:sz w:val="18"/>
              </w:rPr>
              <w:t>9</w:t>
            </w:r>
          </w:p>
        </w:tc>
        <w:tc>
          <w:tcPr>
            <w:tcW w:type="dxa" w:w="1089"/>
          </w:tcPr>
          <w:p>
            <w:r/>
            <w:r>
              <w:rPr>
                <w:sz w:val="18"/>
              </w:rPr>
              <w:t>Lab 7</w:t>
            </w:r>
          </w:p>
        </w:tc>
        <w:tc>
          <w:tcPr>
            <w:tcW w:type="dxa" w:w="2219"/>
          </w:tcPr>
          <w:p>
            <w:r/>
            <w:r>
              <w:rPr>
                <w:sz w:val="18"/>
              </w:rPr>
              <w:t>Ship It - Integration and Demonstration</w:t>
            </w:r>
          </w:p>
        </w:tc>
        <w:tc>
          <w:tcPr>
            <w:tcW w:type="dxa" w:w="5043"/>
          </w:tcPr>
          <w:p>
            <w:r/>
            <w:r>
              <w:rPr>
                <w:sz w:val="18"/>
              </w:rPr>
              <w:t>FastAPI service; exact and semantic caching; streaming; tracing and cost dashboard; CI regression gate; evaluation report; live demonstration</w:t>
            </w:r>
          </w:p>
        </w:tc>
        <w:tc>
          <w:tcPr>
            <w:tcW w:type="dxa" w:w="508"/>
          </w:tcPr>
          <w:p>
            <w:r/>
            <w:r>
              <w:rPr>
                <w:sz w:val="18"/>
              </w:rPr>
              <w:t>3</w:t>
            </w:r>
          </w:p>
        </w:tc>
      </w:tr>
      <w:tr>
        <w:tc>
          <w:tcPr>
            <w:tcW w:type="dxa" w:w="500"/>
          </w:tcPr>
          <w:p>
            <w:r/>
            <w:r>
              <w:rPr>
                <w:sz w:val="18"/>
              </w:rPr>
            </w:r>
          </w:p>
        </w:tc>
        <w:tc>
          <w:tcPr>
            <w:tcW w:type="dxa" w:w="1089"/>
          </w:tcPr>
          <w:p>
            <w:r/>
            <w:r>
              <w:rPr>
                <w:sz w:val="18"/>
              </w:rPr>
            </w:r>
          </w:p>
        </w:tc>
        <w:tc>
          <w:tcPr>
            <w:tcW w:type="dxa" w:w="2219"/>
          </w:tcPr>
          <w:p>
            <w:r/>
            <w:r>
              <w:rPr>
                <w:sz w:val="18"/>
              </w:rPr>
              <w:t>Total</w:t>
            </w:r>
          </w:p>
        </w:tc>
        <w:tc>
          <w:tcPr>
            <w:tcW w:type="dxa" w:w="5043"/>
          </w:tcPr>
          <w:p>
            <w:r/>
            <w:r>
              <w:rPr>
                <w:sz w:val="18"/>
              </w:rPr>
              <w:t>6 hours theory + 21 hours laboratory (9 sessions)</w:t>
            </w:r>
          </w:p>
        </w:tc>
        <w:tc>
          <w:tcPr>
            <w:tcW w:type="dxa" w:w="508"/>
          </w:tcPr>
          <w:p>
            <w:r/>
            <w:r>
              <w:rPr>
                <w:sz w:val="18"/>
              </w:rPr>
              <w:t>27</w:t>
            </w:r>
          </w:p>
        </w:tc>
      </w:tr>
    </w:tbl>
    <w:p/>
    <w:p>
      <w:pPr>
        <w:pStyle w:val="Heading2"/>
      </w:pPr>
      <w:r>
        <w:t>Credit-Equivalent Hours</w:t>
      </w:r>
    </w:p>
    <w:p>
      <w:r>
        <w:rPr>
          <w:b w:val="0"/>
          <w:i w:val="0"/>
        </w:rPr>
        <w:t>Under the University's credit convention, one hour of theory is equivalent to two hours of laboratory. The module therefore carries 33 credit-equivalent hours across 27 scheduled contact hours.</w:t>
      </w:r>
    </w:p>
    <w:tbl>
      <w:tblPr>
        <w:tblStyle w:val="TableGrid"/>
        <w:tblW w:type="auto" w:w="0"/>
        <w:jc w:val="center"/>
        <w:tblLayout w:type="fixed"/>
        <w:tblLook w:firstColumn="1" w:firstRow="1" w:lastColumn="0" w:lastRow="0" w:noHBand="0" w:noVBand="1" w:val="04A0"/>
      </w:tblPr>
      <w:tblGrid>
        <w:gridCol w:w="3900"/>
        <w:gridCol w:w="1950"/>
        <w:gridCol w:w="1170"/>
        <w:gridCol w:w="2340"/>
      </w:tblGrid>
      <w:tr>
        <w:tc>
          <w:tcPr>
            <w:tcW w:type="dxa" w:w="3900"/>
          </w:tcPr>
          <w:p>
            <w:r/>
            <w:r>
              <w:rPr>
                <w:b/>
                <w:sz w:val="20"/>
              </w:rPr>
              <w:t>Component</w:t>
            </w:r>
          </w:p>
        </w:tc>
        <w:tc>
          <w:tcPr>
            <w:tcW w:type="dxa" w:w="1950"/>
          </w:tcPr>
          <w:p>
            <w:r/>
            <w:r>
              <w:rPr>
                <w:b/>
                <w:sz w:val="20"/>
              </w:rPr>
              <w:t>Scheduled</w:t>
            </w:r>
          </w:p>
        </w:tc>
        <w:tc>
          <w:tcPr>
            <w:tcW w:type="dxa" w:w="1170"/>
          </w:tcPr>
          <w:p>
            <w:r/>
            <w:r>
              <w:rPr>
                <w:b/>
                <w:sz w:val="20"/>
              </w:rPr>
              <w:t>Weight</w:t>
            </w:r>
          </w:p>
        </w:tc>
        <w:tc>
          <w:tcPr>
            <w:tcW w:type="dxa" w:w="2340"/>
          </w:tcPr>
          <w:p>
            <w:r/>
            <w:r>
              <w:rPr>
                <w:b/>
                <w:sz w:val="20"/>
              </w:rPr>
              <w:t>Credit-equivalent</w:t>
            </w:r>
          </w:p>
        </w:tc>
      </w:tr>
      <w:tr>
        <w:tc>
          <w:tcPr>
            <w:tcW w:type="dxa" w:w="3900"/>
          </w:tcPr>
          <w:p>
            <w:r/>
            <w:r>
              <w:rPr>
                <w:sz w:val="20"/>
              </w:rPr>
              <w:t>Theory (4 sessions x 1.5 hours)</w:t>
            </w:r>
          </w:p>
        </w:tc>
        <w:tc>
          <w:tcPr>
            <w:tcW w:type="dxa" w:w="1950"/>
          </w:tcPr>
          <w:p>
            <w:r/>
            <w:r>
              <w:rPr>
                <w:sz w:val="20"/>
              </w:rPr>
              <w:t>6 hours</w:t>
            </w:r>
          </w:p>
        </w:tc>
        <w:tc>
          <w:tcPr>
            <w:tcW w:type="dxa" w:w="1170"/>
          </w:tcPr>
          <w:p>
            <w:r/>
            <w:r>
              <w:rPr>
                <w:sz w:val="20"/>
              </w:rPr>
              <w:t>x 2</w:t>
            </w:r>
          </w:p>
        </w:tc>
        <w:tc>
          <w:tcPr>
            <w:tcW w:type="dxa" w:w="2340"/>
          </w:tcPr>
          <w:p>
            <w:r/>
            <w:r>
              <w:rPr>
                <w:sz w:val="20"/>
              </w:rPr>
              <w:t>12 hours</w:t>
            </w:r>
          </w:p>
        </w:tc>
      </w:tr>
      <w:tr>
        <w:tc>
          <w:tcPr>
            <w:tcW w:type="dxa" w:w="3900"/>
          </w:tcPr>
          <w:p>
            <w:r/>
            <w:r>
              <w:rPr>
                <w:sz w:val="20"/>
              </w:rPr>
              <w:t>Laboratory (7 sessions x 3 hours)</w:t>
            </w:r>
          </w:p>
        </w:tc>
        <w:tc>
          <w:tcPr>
            <w:tcW w:type="dxa" w:w="1950"/>
          </w:tcPr>
          <w:p>
            <w:r/>
            <w:r>
              <w:rPr>
                <w:sz w:val="20"/>
              </w:rPr>
              <w:t>21 hours</w:t>
            </w:r>
          </w:p>
        </w:tc>
        <w:tc>
          <w:tcPr>
            <w:tcW w:type="dxa" w:w="1170"/>
          </w:tcPr>
          <w:p>
            <w:r/>
            <w:r>
              <w:rPr>
                <w:sz w:val="20"/>
              </w:rPr>
              <w:t>x 1</w:t>
            </w:r>
          </w:p>
        </w:tc>
        <w:tc>
          <w:tcPr>
            <w:tcW w:type="dxa" w:w="2340"/>
          </w:tcPr>
          <w:p>
            <w:r/>
            <w:r>
              <w:rPr>
                <w:sz w:val="20"/>
              </w:rPr>
              <w:t>21 hours</w:t>
            </w:r>
          </w:p>
        </w:tc>
      </w:tr>
      <w:tr>
        <w:tc>
          <w:tcPr>
            <w:tcW w:type="dxa" w:w="3900"/>
          </w:tcPr>
          <w:p>
            <w:r/>
            <w:r>
              <w:rPr>
                <w:sz w:val="20"/>
              </w:rPr>
              <w:t>Total</w:t>
            </w:r>
          </w:p>
        </w:tc>
        <w:tc>
          <w:tcPr>
            <w:tcW w:type="dxa" w:w="1950"/>
          </w:tcPr>
          <w:p>
            <w:r/>
            <w:r>
              <w:rPr>
                <w:sz w:val="20"/>
              </w:rPr>
              <w:t>27 contact hours</w:t>
            </w:r>
          </w:p>
        </w:tc>
        <w:tc>
          <w:tcPr>
            <w:tcW w:type="dxa" w:w="1170"/>
          </w:tcPr>
          <w:p>
            <w:r/>
            <w:r>
              <w:rPr>
                <w:sz w:val="20"/>
              </w:rPr>
            </w:r>
          </w:p>
        </w:tc>
        <w:tc>
          <w:tcPr>
            <w:tcW w:type="dxa" w:w="2340"/>
          </w:tcPr>
          <w:p>
            <w:r/>
            <w:r>
              <w:rPr>
                <w:sz w:val="20"/>
              </w:rPr>
              <w:t>33 credit-equivalent hours</w:t>
            </w:r>
          </w:p>
        </w:tc>
      </w:tr>
    </w:tbl>
    <w:p/>
    <w:p>
      <w:r>
        <w:rPr>
          <w:b w:val="0"/>
          <w:i w:val="0"/>
          <w:sz w:val="20"/>
        </w:rPr>
        <w:t>Against the parent course's 60 laboratory hours, Module 1 constitutes approximately 55% of AI in Practice I, or about 1.1 of its 2 credits. In credit-equivalent terms the laboratory-to-theory split is 21:12, that is 1.75:1. Should an exact 2:1 split be required, the recommended route is an additional 3-hour laboratory (24:12 = 2:1, giving 30 contact hours and 36 credit-equivalent hours); reducing theory instead would require 5.25 scheduled hours, which is not a whole number of lectures.</w:t>
      </w:r>
    </w:p>
    <w:p>
      <w:pPr>
        <w:pStyle w:val="Heading1"/>
      </w:pPr>
      <w:r>
        <w:t>Evaluation Criteria</w:t>
      </w:r>
    </w:p>
    <w:p>
      <w:r>
        <w:rPr>
          <w:b w:val="0"/>
          <w:i w:val="0"/>
        </w:rPr>
        <w:t>Module 1 supplies the Mid-course Presentation component (50%) of AI in Practice I. The internal weighting of that component is as follows.</w:t>
      </w:r>
    </w:p>
    <w:tbl>
      <w:tblPr>
        <w:tblStyle w:val="TableGrid"/>
        <w:tblW w:type="auto" w:w="0"/>
        <w:jc w:val="center"/>
        <w:tblLayout w:type="fixed"/>
        <w:tblLook w:firstColumn="1" w:firstRow="1" w:lastColumn="0" w:lastRow="0" w:noHBand="0" w:noVBand="1" w:val="04A0"/>
      </w:tblPr>
      <w:tblGrid>
        <w:gridCol w:w="2853"/>
        <w:gridCol w:w="1159"/>
        <w:gridCol w:w="5349"/>
      </w:tblGrid>
      <w:tr>
        <w:tc>
          <w:tcPr>
            <w:tcW w:type="dxa" w:w="2853"/>
          </w:tcPr>
          <w:p>
            <w:r/>
            <w:r>
              <w:rPr>
                <w:b/>
                <w:sz w:val="20"/>
              </w:rPr>
              <w:t>Component</w:t>
            </w:r>
          </w:p>
        </w:tc>
        <w:tc>
          <w:tcPr>
            <w:tcW w:type="dxa" w:w="1159"/>
          </w:tcPr>
          <w:p>
            <w:r/>
            <w:r>
              <w:rPr>
                <w:b/>
                <w:sz w:val="20"/>
              </w:rPr>
              <w:t>Weight</w:t>
            </w:r>
          </w:p>
        </w:tc>
        <w:tc>
          <w:tcPr>
            <w:tcW w:type="dxa" w:w="5349"/>
          </w:tcPr>
          <w:p>
            <w:r/>
            <w:r>
              <w:rPr>
                <w:b/>
                <w:sz w:val="20"/>
              </w:rPr>
              <w:t>Assessed on</w:t>
            </w:r>
          </w:p>
        </w:tc>
      </w:tr>
      <w:tr>
        <w:tc>
          <w:tcPr>
            <w:tcW w:type="dxa" w:w="2853"/>
          </w:tcPr>
          <w:p>
            <w:r/>
            <w:r>
              <w:rPr>
                <w:sz w:val="20"/>
              </w:rPr>
              <w:t>Laboratory deliverables, Labs 1–6</w:t>
            </w:r>
          </w:p>
        </w:tc>
        <w:tc>
          <w:tcPr>
            <w:tcW w:type="dxa" w:w="1159"/>
          </w:tcPr>
          <w:p>
            <w:r/>
            <w:r>
              <w:rPr>
                <w:sz w:val="20"/>
              </w:rPr>
              <w:t>54% (9% each)</w:t>
            </w:r>
          </w:p>
        </w:tc>
        <w:tc>
          <w:tcPr>
            <w:tcW w:type="dxa" w:w="5349"/>
          </w:tcPr>
          <w:p>
            <w:r/>
            <w:r>
              <w:rPr>
                <w:sz w:val="20"/>
              </w:rPr>
              <w:t>Working code together with the required measurement, per the laboratory rubric</w:t>
            </w:r>
          </w:p>
        </w:tc>
      </w:tr>
      <w:tr>
        <w:tc>
          <w:tcPr>
            <w:tcW w:type="dxa" w:w="2853"/>
          </w:tcPr>
          <w:p>
            <w:r/>
            <w:r>
              <w:rPr>
                <w:sz w:val="20"/>
              </w:rPr>
              <w:t>Laboratory 7 capstone system</w:t>
            </w:r>
          </w:p>
        </w:tc>
        <w:tc>
          <w:tcPr>
            <w:tcW w:type="dxa" w:w="1159"/>
          </w:tcPr>
          <w:p>
            <w:r/>
            <w:r>
              <w:rPr>
                <w:sz w:val="20"/>
              </w:rPr>
              <w:t>20%</w:t>
            </w:r>
          </w:p>
        </w:tc>
        <w:tc>
          <w:tcPr>
            <w:tcW w:type="dxa" w:w="5349"/>
          </w:tcPr>
          <w:p>
            <w:r/>
            <w:r>
              <w:rPr>
                <w:sz w:val="20"/>
              </w:rPr>
              <w:t>Deployed service meeting the stated latency and cost budgets and surviving the red-team suite</w:t>
            </w:r>
          </w:p>
        </w:tc>
      </w:tr>
      <w:tr>
        <w:tc>
          <w:tcPr>
            <w:tcW w:type="dxa" w:w="2853"/>
          </w:tcPr>
          <w:p>
            <w:r/>
            <w:r>
              <w:rPr>
                <w:sz w:val="20"/>
              </w:rPr>
              <w:t>Laboratory 7 evaluation report</w:t>
            </w:r>
          </w:p>
        </w:tc>
        <w:tc>
          <w:tcPr>
            <w:tcW w:type="dxa" w:w="1159"/>
          </w:tcPr>
          <w:p>
            <w:r/>
            <w:r>
              <w:rPr>
                <w:sz w:val="20"/>
              </w:rPr>
              <w:t>16%</w:t>
            </w:r>
          </w:p>
        </w:tc>
        <w:tc>
          <w:tcPr>
            <w:tcW w:type="dxa" w:w="5349"/>
          </w:tcPr>
          <w:p>
            <w:r/>
            <w:r>
              <w:rPr>
                <w:sz w:val="20"/>
              </w:rPr>
              <w:t>A written argument, supported by the student's own harness, for why the system works and where it does not</w:t>
            </w:r>
          </w:p>
        </w:tc>
      </w:tr>
      <w:tr>
        <w:tc>
          <w:tcPr>
            <w:tcW w:type="dxa" w:w="2853"/>
          </w:tcPr>
          <w:p>
            <w:r/>
            <w:r>
              <w:rPr>
                <w:sz w:val="20"/>
              </w:rPr>
              <w:t>Engineering practice</w:t>
            </w:r>
          </w:p>
        </w:tc>
        <w:tc>
          <w:tcPr>
            <w:tcW w:type="dxa" w:w="1159"/>
          </w:tcPr>
          <w:p>
            <w:r/>
            <w:r>
              <w:rPr>
                <w:sz w:val="20"/>
              </w:rPr>
              <w:t>10%</w:t>
            </w:r>
          </w:p>
        </w:tc>
        <w:tc>
          <w:tcPr>
            <w:tcW w:type="dxa" w:w="5349"/>
          </w:tcPr>
          <w:p>
            <w:r/>
            <w:r>
              <w:rPr>
                <w:sz w:val="20"/>
              </w:rPr>
              <w:t>Reproducibility, repository hygiene, cost discipline, honest reporting of negative results</w:t>
            </w:r>
          </w:p>
        </w:tc>
      </w:tr>
    </w:tbl>
    <w:p/>
    <w:p>
      <w:r>
        <w:rPr>
          <w:b/>
          <w:i w:val="0"/>
        </w:rPr>
        <w:t>Assessment principle. A claim without a supporting measurement is not a deliverable. Statements such as "the prompt improved" receive no credit; "record accuracy rose from 0.71 to 0.94 on the 120-item held-out split, at 1.8× cost and +340 ms p95 latency" is the required standard.</w:t>
      </w:r>
    </w:p>
    <w:p>
      <w:r>
        <w:rPr>
          <w:b w:val="0"/>
          <w:i w:val="0"/>
        </w:rPr>
        <w:t>Honest negative results receive full credit in the analysis criterion of every laboratory. Fabricated or unreproducible measurements receive zero for that laboratory and are treated under the University's academic integrity policy.</w:t>
      </w:r>
    </w:p>
    <w:p>
      <w:pPr>
        <w:pStyle w:val="Heading2"/>
      </w:pPr>
      <w:r>
        <w:t>Policy on the Use of AI Assistants</w:t>
      </w:r>
    </w:p>
    <w:p>
      <w:pPr>
        <w:pStyle w:val="ListBullet"/>
      </w:pPr>
      <w:r>
        <w:t>Permitted and encouraged: use of coding assistants for boilerplate, debugging, refactoring and error explanation.</w:t>
      </w:r>
    </w:p>
    <w:p>
      <w:pPr>
        <w:pStyle w:val="ListBullet"/>
      </w:pPr>
      <w:r>
        <w:t>Required: the student must be able to explain any line submitted. Laboratories are demonstrated live and the instructor will ask.</w:t>
      </w:r>
    </w:p>
    <w:p>
      <w:pPr>
        <w:pStyle w:val="ListBullet"/>
      </w:pPr>
      <w:r>
        <w:t>Prohibited: submitting evaluation results not generated by running the student's own harness. This constitutes fabrication of results.</w:t>
      </w:r>
    </w:p>
    <w:p>
      <w:pPr>
        <w:pStyle w:val="Heading1"/>
      </w:pPr>
      <w:r>
        <w:t>Learning Resources</w:t>
      </w:r>
    </w:p>
    <w:p>
      <w:r>
        <w:rPr>
          <w:b w:val="0"/>
          <w:i w:val="0"/>
        </w:rPr>
        <w:t>No textbook purchase is required. Each laboratory handout lists two to four short readings, approximately 45 minutes per laboratory.</w:t>
      </w:r>
    </w:p>
    <w:p>
      <w:pPr>
        <w:pStyle w:val="Heading3"/>
      </w:pPr>
      <w:r>
        <w:t>Cross-referenced with the co-requisite lecture course</w:t>
      </w:r>
    </w:p>
    <w:p>
      <w:pPr>
        <w:pStyle w:val="ListBullet"/>
      </w:pPr>
      <w:r>
        <w:t>Jurafsky, D. and Martin, J. H. Speech and Language Processing, 3rd edition draft. Chapters 5 (Embeddings), 7 (Large Language Models) and 11 (Information Retrieval and RAG). Freely available online.</w:t>
      </w:r>
    </w:p>
    <w:p>
      <w:pPr>
        <w:pStyle w:val="Heading3"/>
      </w:pPr>
      <w:r>
        <w:t>Standing references</w:t>
      </w:r>
    </w:p>
    <w:p>
      <w:pPr>
        <w:pStyle w:val="ListBullet"/>
      </w:pPr>
      <w:r>
        <w:t>Lewis, P. et al. (2020). Retrieval-Augmented Generation for Knowledge-Intensive NLP Tasks. NeurIPS. arXiv:2005.11401</w:t>
      </w:r>
    </w:p>
    <w:p>
      <w:pPr>
        <w:pStyle w:val="ListBullet"/>
      </w:pPr>
      <w:r>
        <w:t>Gao, Y. et al. (2023). Retrieval-Augmented Generation for Large Language Models: A Survey. arXiv:2312.10997</w:t>
      </w:r>
    </w:p>
    <w:p>
      <w:pPr>
        <w:pStyle w:val="ListBullet"/>
      </w:pPr>
      <w:r>
        <w:t>Es, S. et al. (2023). RAGAS: Automated Evaluation of Retrieval Augmented Generation. arXiv:2309.15217</w:t>
      </w:r>
    </w:p>
    <w:p>
      <w:pPr>
        <w:pStyle w:val="ListBullet"/>
      </w:pPr>
      <w:r>
        <w:t>Zheng, L. et al. (2023). Judging LLM-as-a-Judge with MT-Bench and Chatbot Arena. NeurIPS. arXiv:2306.05685</w:t>
      </w:r>
    </w:p>
    <w:p>
      <w:pPr>
        <w:pStyle w:val="ListBullet"/>
      </w:pPr>
      <w:r>
        <w:t>Barnett, S. et al. (2024). Seven Failure Points When Engineering a Retrieval Augmented Generation System. arXiv:2401.05856</w:t>
      </w:r>
    </w:p>
    <w:p>
      <w:pPr>
        <w:pStyle w:val="ListBullet"/>
      </w:pPr>
      <w:r>
        <w:t>Greshake, K. et al. (2023). Not what you've signed up for: Compromising Real-World LLM-Integrated Applications with Indirect Prompt Injection. arXiv:2302.12173</w:t>
      </w:r>
    </w:p>
    <w:p>
      <w:pPr>
        <w:pStyle w:val="ListBullet"/>
      </w:pPr>
      <w:r>
        <w:t>OWASP Top 10 for Large Language Model Applications.</w:t>
      </w:r>
    </w:p>
    <w:p>
      <w:pPr>
        <w:pStyle w:val="Heading2"/>
      </w:pPr>
      <w:r>
        <w:t>Software and Infrastructure</w:t>
      </w:r>
    </w:p>
    <w:tbl>
      <w:tblPr>
        <w:tblStyle w:val="TableGrid"/>
        <w:tblW w:type="auto" w:w="0"/>
        <w:jc w:val="center"/>
        <w:tblLayout w:type="fixed"/>
        <w:tblLook w:firstColumn="1" w:firstRow="1" w:lastColumn="0" w:lastRow="0" w:noHBand="0" w:noVBand="1" w:val="04A0"/>
      </w:tblPr>
      <w:tblGrid>
        <w:gridCol w:w="1872"/>
        <w:gridCol w:w="2808"/>
        <w:gridCol w:w="4680"/>
      </w:tblGrid>
      <w:tr>
        <w:tc>
          <w:tcPr>
            <w:tcW w:type="dxa" w:w="1872"/>
          </w:tcPr>
          <w:p>
            <w:r/>
            <w:r>
              <w:rPr>
                <w:b/>
                <w:sz w:val="20"/>
              </w:rPr>
              <w:t>Layer</w:t>
            </w:r>
          </w:p>
        </w:tc>
        <w:tc>
          <w:tcPr>
            <w:tcW w:type="dxa" w:w="2808"/>
          </w:tcPr>
          <w:p>
            <w:r/>
            <w:r>
              <w:rPr>
                <w:b/>
                <w:sz w:val="20"/>
              </w:rPr>
              <w:t>Tool</w:t>
            </w:r>
          </w:p>
        </w:tc>
        <w:tc>
          <w:tcPr>
            <w:tcW w:type="dxa" w:w="4680"/>
          </w:tcPr>
          <w:p>
            <w:r/>
            <w:r>
              <w:rPr>
                <w:b/>
                <w:sz w:val="20"/>
              </w:rPr>
              <w:t>Rationale</w:t>
            </w:r>
          </w:p>
        </w:tc>
      </w:tr>
      <w:tr>
        <w:tc>
          <w:tcPr>
            <w:tcW w:type="dxa" w:w="1872"/>
          </w:tcPr>
          <w:p>
            <w:r/>
            <w:r>
              <w:rPr>
                <w:sz w:val="20"/>
              </w:rPr>
              <w:t>Model access</w:t>
            </w:r>
          </w:p>
        </w:tc>
        <w:tc>
          <w:tcPr>
            <w:tcW w:type="dxa" w:w="2808"/>
          </w:tcPr>
          <w:p>
            <w:r/>
            <w:r>
              <w:rPr>
                <w:sz w:val="20"/>
              </w:rPr>
              <w:t>LiteLLM unified client</w:t>
            </w:r>
          </w:p>
        </w:tc>
        <w:tc>
          <w:tcPr>
            <w:tcW w:type="dxa" w:w="4680"/>
          </w:tcPr>
          <w:p>
            <w:r/>
            <w:r>
              <w:rPr>
                <w:sz w:val="20"/>
              </w:rPr>
              <w:t>One code path across Anthropic, OpenAI, Google, Groq and local Ollama models</w:t>
            </w:r>
          </w:p>
        </w:tc>
      </w:tr>
      <w:tr>
        <w:tc>
          <w:tcPr>
            <w:tcW w:type="dxa" w:w="1872"/>
          </w:tcPr>
          <w:p>
            <w:r/>
            <w:r>
              <w:rPr>
                <w:sz w:val="20"/>
              </w:rPr>
              <w:t>Structured output</w:t>
            </w:r>
          </w:p>
        </w:tc>
        <w:tc>
          <w:tcPr>
            <w:tcW w:type="dxa" w:w="2808"/>
          </w:tcPr>
          <w:p>
            <w:r/>
            <w:r>
              <w:rPr>
                <w:sz w:val="20"/>
              </w:rPr>
              <w:t>Pydantic v2 with provider JSON mode</w:t>
            </w:r>
          </w:p>
        </w:tc>
        <w:tc>
          <w:tcPr>
            <w:tcW w:type="dxa" w:w="4680"/>
          </w:tcPr>
          <w:p>
            <w:r/>
            <w:r>
              <w:rPr>
                <w:sz w:val="20"/>
              </w:rPr>
              <w:t>Provider-independent validation guarantees</w:t>
            </w:r>
          </w:p>
        </w:tc>
      </w:tr>
      <w:tr>
        <w:tc>
          <w:tcPr>
            <w:tcW w:type="dxa" w:w="1872"/>
          </w:tcPr>
          <w:p>
            <w:r/>
            <w:r>
              <w:rPr>
                <w:sz w:val="20"/>
              </w:rPr>
              <w:t>Vector store</w:t>
            </w:r>
          </w:p>
        </w:tc>
        <w:tc>
          <w:tcPr>
            <w:tcW w:type="dxa" w:w="2808"/>
          </w:tcPr>
          <w:p>
            <w:r/>
            <w:r>
              <w:rPr>
                <w:sz w:val="20"/>
              </w:rPr>
              <w:t>ChromaDB (embedded)</w:t>
            </w:r>
          </w:p>
        </w:tc>
        <w:tc>
          <w:tcPr>
            <w:tcW w:type="dxa" w:w="4680"/>
          </w:tcPr>
          <w:p>
            <w:r/>
            <w:r>
              <w:rPr>
                <w:sz w:val="20"/>
              </w:rPr>
              <w:t>No server, no cloud account, no cost</w:t>
            </w:r>
          </w:p>
        </w:tc>
      </w:tr>
      <w:tr>
        <w:tc>
          <w:tcPr>
            <w:tcW w:type="dxa" w:w="1872"/>
          </w:tcPr>
          <w:p>
            <w:r/>
            <w:r>
              <w:rPr>
                <w:sz w:val="20"/>
              </w:rPr>
              <w:t>Lexical retrieval</w:t>
            </w:r>
          </w:p>
        </w:tc>
        <w:tc>
          <w:tcPr>
            <w:tcW w:type="dxa" w:w="2808"/>
          </w:tcPr>
          <w:p>
            <w:r/>
            <w:r>
              <w:rPr>
                <w:sz w:val="20"/>
              </w:rPr>
              <w:t>BM25 (rank_bm25)</w:t>
            </w:r>
          </w:p>
        </w:tc>
        <w:tc>
          <w:tcPr>
            <w:tcW w:type="dxa" w:w="4680"/>
          </w:tcPr>
          <w:p>
            <w:r/>
            <w:r>
              <w:rPr>
                <w:sz w:val="20"/>
              </w:rPr>
              <w:t>The baseline hybrid retrieval must beat</w:t>
            </w:r>
          </w:p>
        </w:tc>
      </w:tr>
      <w:tr>
        <w:tc>
          <w:tcPr>
            <w:tcW w:type="dxa" w:w="1872"/>
          </w:tcPr>
          <w:p>
            <w:r/>
            <w:r>
              <w:rPr>
                <w:sz w:val="20"/>
              </w:rPr>
              <w:t>Embeddings</w:t>
            </w:r>
          </w:p>
        </w:tc>
        <w:tc>
          <w:tcPr>
            <w:tcW w:type="dxa" w:w="2808"/>
          </w:tcPr>
          <w:p>
            <w:r/>
            <w:r>
              <w:rPr>
                <w:sz w:val="20"/>
              </w:rPr>
              <w:t>Provider API or local sentence-transformers</w:t>
            </w:r>
          </w:p>
        </w:tc>
        <w:tc>
          <w:tcPr>
            <w:tcW w:type="dxa" w:w="4680"/>
          </w:tcPr>
          <w:p>
            <w:r/>
            <w:r>
              <w:rPr>
                <w:sz w:val="20"/>
              </w:rPr>
              <w:t>Zero-cost offline path</w:t>
            </w:r>
          </w:p>
        </w:tc>
      </w:tr>
      <w:tr>
        <w:tc>
          <w:tcPr>
            <w:tcW w:type="dxa" w:w="1872"/>
          </w:tcPr>
          <w:p>
            <w:r/>
            <w:r>
              <w:rPr>
                <w:sz w:val="20"/>
              </w:rPr>
              <w:t>Serving</w:t>
            </w:r>
          </w:p>
        </w:tc>
        <w:tc>
          <w:tcPr>
            <w:tcW w:type="dxa" w:w="2808"/>
          </w:tcPr>
          <w:p>
            <w:r/>
            <w:r>
              <w:rPr>
                <w:sz w:val="20"/>
              </w:rPr>
              <w:t>FastAPI and Streamlit</w:t>
            </w:r>
          </w:p>
        </w:tc>
        <w:tc>
          <w:tcPr>
            <w:tcW w:type="dxa" w:w="4680"/>
          </w:tcPr>
          <w:p>
            <w:r/>
            <w:r>
              <w:rPr>
                <w:sz w:val="20"/>
              </w:rPr>
              <w:t>Laboratory 7</w:t>
            </w:r>
          </w:p>
        </w:tc>
      </w:tr>
      <w:tr>
        <w:tc>
          <w:tcPr>
            <w:tcW w:type="dxa" w:w="1872"/>
          </w:tcPr>
          <w:p>
            <w:r/>
            <w:r>
              <w:rPr>
                <w:sz w:val="20"/>
              </w:rPr>
              <w:t>Observability</w:t>
            </w:r>
          </w:p>
        </w:tc>
        <w:tc>
          <w:tcPr>
            <w:tcW w:type="dxa" w:w="2808"/>
          </w:tcPr>
          <w:p>
            <w:r/>
            <w:r>
              <w:rPr>
                <w:sz w:val="20"/>
              </w:rPr>
              <w:t>Local JSONL tracing</w:t>
            </w:r>
          </w:p>
        </w:tc>
        <w:tc>
          <w:tcPr>
            <w:tcW w:type="dxa" w:w="4680"/>
          </w:tcPr>
          <w:p>
            <w:r/>
            <w:r>
              <w:rPr>
                <w:sz w:val="20"/>
              </w:rPr>
              <w:t>No third-party service registration required</w:t>
            </w:r>
          </w:p>
        </w:tc>
      </w:tr>
    </w:tbl>
    <w:p/>
    <w:p>
      <w:r>
        <w:rPr>
          <w:b w:val="0"/>
          <w:i w:val="0"/>
        </w:rPr>
        <w:t>Cost to the student is between zero and approximately six US dollars for the entire module. Free provider tiers and a fully local execution path are supported and tested. A hard budget ceiling, a response cache and an offline replay mode are enabled by default.</w:t>
      </w:r>
    </w:p>
    <w:p>
      <w:pPr>
        <w:pStyle w:val="Heading1"/>
      </w:pPr>
      <w:r>
        <w:t>Academic Policy</w:t>
      </w:r>
    </w:p>
    <w:p>
      <w:r>
        <w:rPr>
          <w:b w:val="0"/>
          <w:i w:val="0"/>
        </w:rPr>
        <w:t>This module follows the academic policies established by Plaksha University's Office of Academic Affairs, applicable uniformly across all programmes. Attendance is expected. Participation is assessed on substantive contribution to laboratory discussion and to the demonstration sessions, not on attendance alone.</w:t>
      </w:r>
    </w:p>
    <w:p>
      <w:pPr>
        <w:pStyle w:val="Heading1"/>
      </w:pPr>
      <w:r>
        <w:t>Curriculum Knowledge Map (CLO → PLO)</w:t>
      </w:r>
    </w:p>
    <w:tbl>
      <w:tblPr>
        <w:tblStyle w:val="TableGrid"/>
        <w:tblW w:type="auto" w:w="0"/>
        <w:jc w:val="center"/>
        <w:tblLayout w:type="fixed"/>
        <w:tblLook w:firstColumn="1" w:firstRow="1" w:lastColumn="0" w:lastRow="0" w:noHBand="0" w:noVBand="1" w:val="04A0"/>
      </w:tblPr>
      <w:tblGrid>
        <w:gridCol w:w="2340"/>
        <w:gridCol w:w="1170"/>
        <w:gridCol w:w="1170"/>
        <w:gridCol w:w="1170"/>
        <w:gridCol w:w="1170"/>
        <w:gridCol w:w="1170"/>
        <w:gridCol w:w="1170"/>
      </w:tblGrid>
      <w:tr>
        <w:tc>
          <w:tcPr>
            <w:tcW w:type="dxa" w:w="2340"/>
          </w:tcPr>
          <w:p>
            <w:r/>
            <w:r>
              <w:rPr>
                <w:b/>
                <w:sz w:val="20"/>
              </w:rPr>
              <w:t>CLO \ PLO</w:t>
            </w:r>
          </w:p>
        </w:tc>
        <w:tc>
          <w:tcPr>
            <w:tcW w:type="dxa" w:w="1170"/>
          </w:tcPr>
          <w:p>
            <w:r/>
            <w:r>
              <w:rPr>
                <w:b/>
                <w:sz w:val="20"/>
              </w:rPr>
              <w:t>PLO1</w:t>
            </w:r>
          </w:p>
        </w:tc>
        <w:tc>
          <w:tcPr>
            <w:tcW w:type="dxa" w:w="1170"/>
          </w:tcPr>
          <w:p>
            <w:r/>
            <w:r>
              <w:rPr>
                <w:b/>
                <w:sz w:val="20"/>
              </w:rPr>
              <w:t>PLO2</w:t>
            </w:r>
          </w:p>
        </w:tc>
        <w:tc>
          <w:tcPr>
            <w:tcW w:type="dxa" w:w="1170"/>
          </w:tcPr>
          <w:p>
            <w:r/>
            <w:r>
              <w:rPr>
                <w:b/>
                <w:sz w:val="20"/>
              </w:rPr>
              <w:t>PLO3</w:t>
            </w:r>
          </w:p>
        </w:tc>
        <w:tc>
          <w:tcPr>
            <w:tcW w:type="dxa" w:w="1170"/>
          </w:tcPr>
          <w:p>
            <w:r/>
            <w:r>
              <w:rPr>
                <w:b/>
                <w:sz w:val="20"/>
              </w:rPr>
              <w:t>PLO4</w:t>
            </w:r>
          </w:p>
        </w:tc>
        <w:tc>
          <w:tcPr>
            <w:tcW w:type="dxa" w:w="1170"/>
          </w:tcPr>
          <w:p>
            <w:r/>
            <w:r>
              <w:rPr>
                <w:b/>
                <w:sz w:val="20"/>
              </w:rPr>
              <w:t>PLO5</w:t>
            </w:r>
          </w:p>
        </w:tc>
        <w:tc>
          <w:tcPr>
            <w:tcW w:type="dxa" w:w="1170"/>
          </w:tcPr>
          <w:p>
            <w:r/>
            <w:r>
              <w:rPr>
                <w:b/>
                <w:sz w:val="20"/>
              </w:rPr>
              <w:t>PLO6</w:t>
            </w:r>
          </w:p>
        </w:tc>
      </w:tr>
      <w:tr>
        <w:tc>
          <w:tcPr>
            <w:tcW w:type="dxa" w:w="2340"/>
          </w:tcPr>
          <w:p>
            <w:r/>
            <w:r>
              <w:rPr>
                <w:sz w:val="20"/>
              </w:rPr>
              <w:t>CLO1</w:t>
            </w:r>
          </w:p>
        </w:tc>
        <w:tc>
          <w:tcPr>
            <w:tcW w:type="dxa" w:w="1170"/>
          </w:tcPr>
          <w:p>
            <w:r/>
            <w:r>
              <w:rPr>
                <w:sz w:val="20"/>
              </w:rPr>
              <w:t>H</w:t>
            </w:r>
          </w:p>
        </w:tc>
        <w:tc>
          <w:tcPr>
            <w:tcW w:type="dxa" w:w="1170"/>
          </w:tcPr>
          <w:p>
            <w:r/>
            <w:r>
              <w:rPr>
                <w:sz w:val="20"/>
              </w:rPr>
              <w:t>M</w:t>
            </w:r>
          </w:p>
        </w:tc>
        <w:tc>
          <w:tcPr>
            <w:tcW w:type="dxa" w:w="1170"/>
          </w:tcPr>
          <w:p>
            <w:r/>
            <w:r>
              <w:rPr>
                <w:sz w:val="20"/>
              </w:rPr>
              <w:t>M</w:t>
            </w:r>
          </w:p>
        </w:tc>
        <w:tc>
          <w:tcPr>
            <w:tcW w:type="dxa" w:w="1170"/>
          </w:tcPr>
          <w:p>
            <w:r/>
            <w:r>
              <w:rPr>
                <w:sz w:val="20"/>
              </w:rPr>
            </w:r>
          </w:p>
        </w:tc>
        <w:tc>
          <w:tcPr>
            <w:tcW w:type="dxa" w:w="1170"/>
          </w:tcPr>
          <w:p>
            <w:r/>
            <w:r>
              <w:rPr>
                <w:sz w:val="20"/>
              </w:rPr>
            </w:r>
          </w:p>
        </w:tc>
        <w:tc>
          <w:tcPr>
            <w:tcW w:type="dxa" w:w="1170"/>
          </w:tcPr>
          <w:p>
            <w:r/>
            <w:r>
              <w:rPr>
                <w:sz w:val="20"/>
              </w:rPr>
              <w:t>M</w:t>
            </w:r>
          </w:p>
        </w:tc>
      </w:tr>
      <w:tr>
        <w:tc>
          <w:tcPr>
            <w:tcW w:type="dxa" w:w="2340"/>
          </w:tcPr>
          <w:p>
            <w:r/>
            <w:r>
              <w:rPr>
                <w:sz w:val="20"/>
              </w:rPr>
              <w:t>CLO2</w:t>
            </w:r>
          </w:p>
        </w:tc>
        <w:tc>
          <w:tcPr>
            <w:tcW w:type="dxa" w:w="1170"/>
          </w:tcPr>
          <w:p>
            <w:r/>
            <w:r>
              <w:rPr>
                <w:sz w:val="20"/>
              </w:rPr>
              <w:t>M</w:t>
            </w:r>
          </w:p>
        </w:tc>
        <w:tc>
          <w:tcPr>
            <w:tcW w:type="dxa" w:w="1170"/>
          </w:tcPr>
          <w:p>
            <w:r/>
            <w:r>
              <w:rPr>
                <w:sz w:val="20"/>
              </w:rPr>
              <w:t>H</w:t>
            </w:r>
          </w:p>
        </w:tc>
        <w:tc>
          <w:tcPr>
            <w:tcW w:type="dxa" w:w="1170"/>
          </w:tcPr>
          <w:p>
            <w:r/>
            <w:r>
              <w:rPr>
                <w:sz w:val="20"/>
              </w:rPr>
              <w:t>H</w:t>
            </w:r>
          </w:p>
        </w:tc>
        <w:tc>
          <w:tcPr>
            <w:tcW w:type="dxa" w:w="1170"/>
          </w:tcPr>
          <w:p>
            <w:r/>
            <w:r>
              <w:rPr>
                <w:sz w:val="20"/>
              </w:rPr>
              <w:t>M</w:t>
            </w:r>
          </w:p>
        </w:tc>
        <w:tc>
          <w:tcPr>
            <w:tcW w:type="dxa" w:w="1170"/>
          </w:tcPr>
          <w:p>
            <w:r/>
            <w:r>
              <w:rPr>
                <w:sz w:val="20"/>
              </w:rPr>
              <w:t>M</w:t>
            </w:r>
          </w:p>
        </w:tc>
        <w:tc>
          <w:tcPr>
            <w:tcW w:type="dxa" w:w="1170"/>
          </w:tcPr>
          <w:p>
            <w:r/>
            <w:r>
              <w:rPr>
                <w:sz w:val="20"/>
              </w:rPr>
              <w:t>H</w:t>
            </w:r>
          </w:p>
        </w:tc>
      </w:tr>
      <w:tr>
        <w:tc>
          <w:tcPr>
            <w:tcW w:type="dxa" w:w="2340"/>
          </w:tcPr>
          <w:p>
            <w:r/>
            <w:r>
              <w:rPr>
                <w:sz w:val="20"/>
              </w:rPr>
              <w:t>CLO3</w:t>
            </w:r>
          </w:p>
        </w:tc>
        <w:tc>
          <w:tcPr>
            <w:tcW w:type="dxa" w:w="1170"/>
          </w:tcPr>
          <w:p>
            <w:r/>
            <w:r>
              <w:rPr>
                <w:sz w:val="20"/>
              </w:rPr>
              <w:t>M</w:t>
            </w:r>
          </w:p>
        </w:tc>
        <w:tc>
          <w:tcPr>
            <w:tcW w:type="dxa" w:w="1170"/>
          </w:tcPr>
          <w:p>
            <w:r/>
            <w:r>
              <w:rPr>
                <w:sz w:val="20"/>
              </w:rPr>
              <w:t>H</w:t>
            </w:r>
          </w:p>
        </w:tc>
        <w:tc>
          <w:tcPr>
            <w:tcW w:type="dxa" w:w="1170"/>
          </w:tcPr>
          <w:p>
            <w:r/>
            <w:r>
              <w:rPr>
                <w:sz w:val="20"/>
              </w:rPr>
              <w:t>H</w:t>
            </w:r>
          </w:p>
        </w:tc>
        <w:tc>
          <w:tcPr>
            <w:tcW w:type="dxa" w:w="1170"/>
          </w:tcPr>
          <w:p>
            <w:r/>
            <w:r>
              <w:rPr>
                <w:sz w:val="20"/>
              </w:rPr>
            </w:r>
          </w:p>
        </w:tc>
        <w:tc>
          <w:tcPr>
            <w:tcW w:type="dxa" w:w="1170"/>
          </w:tcPr>
          <w:p>
            <w:r/>
            <w:r>
              <w:rPr>
                <w:sz w:val="20"/>
              </w:rPr>
              <w:t>H</w:t>
            </w:r>
          </w:p>
        </w:tc>
        <w:tc>
          <w:tcPr>
            <w:tcW w:type="dxa" w:w="1170"/>
          </w:tcPr>
          <w:p>
            <w:r/>
            <w:r>
              <w:rPr>
                <w:sz w:val="20"/>
              </w:rPr>
              <w:t>M</w:t>
            </w:r>
          </w:p>
        </w:tc>
      </w:tr>
      <w:tr>
        <w:tc>
          <w:tcPr>
            <w:tcW w:type="dxa" w:w="2340"/>
          </w:tcPr>
          <w:p>
            <w:r/>
            <w:r>
              <w:rPr>
                <w:sz w:val="20"/>
              </w:rPr>
              <w:t>CLO4</w:t>
            </w:r>
          </w:p>
        </w:tc>
        <w:tc>
          <w:tcPr>
            <w:tcW w:type="dxa" w:w="1170"/>
          </w:tcPr>
          <w:p>
            <w:r/>
            <w:r>
              <w:rPr>
                <w:sz w:val="20"/>
              </w:rPr>
              <w:t>M</w:t>
            </w:r>
          </w:p>
        </w:tc>
        <w:tc>
          <w:tcPr>
            <w:tcW w:type="dxa" w:w="1170"/>
          </w:tcPr>
          <w:p>
            <w:r/>
            <w:r>
              <w:rPr>
                <w:sz w:val="20"/>
              </w:rPr>
              <w:t>H</w:t>
            </w:r>
          </w:p>
        </w:tc>
        <w:tc>
          <w:tcPr>
            <w:tcW w:type="dxa" w:w="1170"/>
          </w:tcPr>
          <w:p>
            <w:r/>
            <w:r>
              <w:rPr>
                <w:sz w:val="20"/>
              </w:rPr>
              <w:t>H</w:t>
            </w:r>
          </w:p>
        </w:tc>
        <w:tc>
          <w:tcPr>
            <w:tcW w:type="dxa" w:w="1170"/>
          </w:tcPr>
          <w:p>
            <w:r/>
            <w:r>
              <w:rPr>
                <w:sz w:val="20"/>
              </w:rPr>
              <w:t>M</w:t>
            </w:r>
          </w:p>
        </w:tc>
        <w:tc>
          <w:tcPr>
            <w:tcW w:type="dxa" w:w="1170"/>
          </w:tcPr>
          <w:p>
            <w:r/>
            <w:r>
              <w:rPr>
                <w:sz w:val="20"/>
              </w:rPr>
              <w:t>H</w:t>
            </w:r>
          </w:p>
        </w:tc>
        <w:tc>
          <w:tcPr>
            <w:tcW w:type="dxa" w:w="1170"/>
          </w:tcPr>
          <w:p>
            <w:r/>
            <w:r>
              <w:rPr>
                <w:sz w:val="20"/>
              </w:rPr>
              <w:t>H</w:t>
            </w:r>
          </w:p>
        </w:tc>
      </w:tr>
    </w:tbl>
    <w:p/>
    <w:p>
      <w:r>
        <w:rPr>
          <w:b w:val="0"/>
          <w:i w:val="0"/>
        </w:rPr>
        <w:t>Contribution Summary — Primary PLOs: PLO2, PLO6. Secondary PLOs: PLO3, PLO5.</w:t>
      </w:r>
    </w:p>
    <w:p>
      <w:r>
        <w:rPr>
          <w:b w:val="0"/>
          <w:i w:val="0"/>
          <w:sz w:val="20"/>
        </w:rPr>
        <w:t>H = High Contribution; M = Medium Contribution; L = Low Contribution.</w:t>
      </w:r>
    </w:p>
    <w:p>
      <w:pPr>
        <w:pStyle w:val="Heading2"/>
      </w:pPr>
      <w:r>
        <w:t>Programme Learning Outcomes</w:t>
      </w:r>
    </w:p>
    <w:p>
      <w:r>
        <w:t>PLO1. Demonstrate a solid understanding of AI fundamentals, mathematical foundations, algorithms, and data systems.</w:t>
      </w:r>
    </w:p>
    <w:p>
      <w:r>
        <w:t>PLO2. Design, develop, and evaluate industry-grade AI and machine learning models for real-world applications.</w:t>
      </w:r>
    </w:p>
    <w:p>
      <w:r>
        <w:t>PLO3. Apply MLOps principles and engineering practices to manage scalable AI systems.</w:t>
      </w:r>
    </w:p>
    <w:p>
      <w:r>
        <w:t>PLO4. Deploy AI and ML systems effectively in cloud and production environments.</w:t>
      </w:r>
    </w:p>
    <w:p>
      <w:r>
        <w:t>PLO5. Apply AI methods to support business strategy, decision-making, and domain-specific applications.</w:t>
      </w:r>
    </w:p>
    <w:p>
      <w:r>
        <w:t>PLO6. Design and deliver comprehensive end-to-end AI solutions integrating data, models, infrastructure,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